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tabs>
          <w:tab w:val="left" w:pos="2550"/>
        </w:tabs>
        <w:rPr>
          <w:rFonts w:ascii="Arial" w:hAnsi="Arial"/>
          <w:color w:val="808080" w:themeColor="background1" w:themeShade="80"/>
          <w:sz w:val="72"/>
          <w:szCs w:val="72"/>
          <w:lang w:val="en-US"/>
        </w:rPr>
      </w:pPr>
      <w:r>
        <w:rPr>
          <w:rFonts w:ascii="Arial" w:hAnsi="Arial"/>
          <w:b/>
          <w:noProof/>
          <w:sz w:val="36"/>
          <w:szCs w:val="32"/>
        </w:rPr>
        <mc:AlternateContent>
          <mc:Choice Requires="wps">
            <w:drawing>
              <wp:anchor distT="45720" distB="45720" distL="114300" distR="114300" simplePos="0" relativeHeight="251657728" behindDoc="0" locked="0" layoutInCell="1" allowOverlap="1">
                <wp:simplePos x="0" y="0"/>
                <wp:positionH relativeFrom="column">
                  <wp:posOffset>4015740</wp:posOffset>
                </wp:positionH>
                <wp:positionV relativeFrom="paragraph">
                  <wp:posOffset>-747395</wp:posOffset>
                </wp:positionV>
                <wp:extent cx="1923415" cy="2381250"/>
                <wp:effectExtent l="0" t="0" r="635" b="0"/>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3415" cy="2381250"/>
                        </a:xfrm>
                        <a:prstGeom prst="rect">
                          <a:avLst/>
                        </a:prstGeom>
                        <a:solidFill>
                          <a:srgbClr val="FFFFFF"/>
                        </a:solidFill>
                        <a:ln w="9525">
                          <a:noFill/>
                          <a:miter lim="800000"/>
                          <a:headEnd/>
                          <a:tailEnd/>
                        </a:ln>
                      </wps:spPr>
                      <wps:txbx>
                        <w:txbxContent>
                          <w:p>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ILLIG Maschinenbau GmbH &amp; Co. KG</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Robert-Bosch-Straße 10</w:t>
                            </w:r>
                          </w:p>
                          <w:p>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74081 Heilbronn, Germany</w:t>
                            </w:r>
                          </w:p>
                          <w:p>
                            <w:pPr>
                              <w:rPr>
                                <w:rFonts w:asciiTheme="minorHAnsi" w:hAnsiTheme="minorHAnsi" w:cstheme="minorHAnsi"/>
                                <w:color w:val="808080" w:themeColor="background1" w:themeShade="80"/>
                                <w:sz w:val="18"/>
                                <w:szCs w:val="18"/>
                                <w:lang w:val="en-US"/>
                              </w:rPr>
                            </w:pPr>
                          </w:p>
                          <w:p>
                            <w:pPr>
                              <w:rPr>
                                <w:rFonts w:asciiTheme="minorHAnsi" w:hAnsiTheme="minorHAnsi" w:cstheme="minorHAnsi"/>
                                <w:b/>
                                <w:color w:val="808080" w:themeColor="background1" w:themeShade="80"/>
                                <w:sz w:val="18"/>
                                <w:szCs w:val="18"/>
                                <w:lang w:val="en-US"/>
                              </w:rPr>
                            </w:pPr>
                            <w:r>
                              <w:rPr>
                                <w:rFonts w:asciiTheme="minorHAnsi" w:hAnsiTheme="minorHAnsi" w:cstheme="minorHAnsi"/>
                                <w:b/>
                                <w:color w:val="808080" w:themeColor="background1" w:themeShade="80"/>
                                <w:sz w:val="18"/>
                                <w:szCs w:val="18"/>
                                <w:lang w:val="en-US"/>
                              </w:rPr>
                              <w:t>Management</w:t>
                            </w:r>
                          </w:p>
                          <w:p>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Carsten Strenger (CEO)</w:t>
                            </w:r>
                          </w:p>
                          <w:p>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Jürgen Lochner (CSO/CTO)</w:t>
                            </w:r>
                          </w:p>
                          <w:p>
                            <w:pPr>
                              <w:rPr>
                                <w:rFonts w:asciiTheme="minorHAnsi" w:hAnsiTheme="minorHAnsi" w:cstheme="minorHAnsi"/>
                                <w:b/>
                                <w:color w:val="808080" w:themeColor="background1" w:themeShade="80"/>
                                <w:sz w:val="18"/>
                                <w:szCs w:val="18"/>
                                <w:lang w:val="en-US"/>
                              </w:rPr>
                            </w:pPr>
                          </w:p>
                          <w:p>
                            <w:pPr>
                              <w:rPr>
                                <w:rFonts w:asciiTheme="minorHAnsi" w:hAnsiTheme="minorHAnsi" w:cstheme="minorHAnsi"/>
                                <w:b/>
                                <w:color w:val="808080" w:themeColor="background1" w:themeShade="80"/>
                                <w:sz w:val="18"/>
                                <w:szCs w:val="18"/>
                                <w:lang w:val="en-US"/>
                              </w:rPr>
                            </w:pPr>
                            <w:r>
                              <w:rPr>
                                <w:rFonts w:asciiTheme="minorHAnsi" w:hAnsiTheme="minorHAnsi" w:cstheme="minorHAnsi"/>
                                <w:b/>
                                <w:color w:val="808080" w:themeColor="background1" w:themeShade="80"/>
                                <w:sz w:val="18"/>
                                <w:szCs w:val="18"/>
                                <w:lang w:val="en-US"/>
                              </w:rPr>
                              <w:t>Press &amp; Public Relations</w:t>
                            </w:r>
                          </w:p>
                          <w:p>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Georg Sposny</w:t>
                            </w:r>
                          </w:p>
                          <w:p>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Phone +49 (0)7131 505-784</w:t>
                            </w:r>
                          </w:p>
                          <w:p>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georg.sposny@illig-group.com</w:t>
                            </w:r>
                          </w:p>
                          <w:p>
                            <w:pPr>
                              <w:rPr>
                                <w:rFonts w:asciiTheme="minorHAnsi" w:hAnsiTheme="minorHAnsi" w:cstheme="minorHAnsi"/>
                                <w:color w:val="808080" w:themeColor="background1" w:themeShade="80"/>
                                <w:sz w:val="18"/>
                                <w:szCs w:val="18"/>
                                <w:lang w:val="en-US"/>
                              </w:rPr>
                            </w:pPr>
                          </w:p>
                          <w:p>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www.illig.com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316.2pt;margin-top:-58.85pt;width:151.45pt;height:187.5pt;z-index:251657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" stroked="f">
                <v:textbox>
                  <w:txbxContent>
                    <w:p>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ILLIG Maschinenbau GmbH &amp; Co. KG</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Robert-Bosch-Straße 10</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74081 Heilbronn, Germany</w:t>
                      </w:r>
                    </w:p>
                    <w:p>
                      <w:pPr>
                        <w:rPr>
                          <w:rFonts w:asciiTheme="minorHAnsi" w:hAnsiTheme="minorHAnsi" w:cstheme="minorHAnsi"/>
                          <w:color w:val="808080" w:themeColor="background1" w:themeShade="80"/>
                          <w:sz w:val="18"/>
                          <w:szCs w:val="18"/>
                        </w:rPr>
                      </w:pPr>
                    </w:p>
                    <w:p>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Management</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Carsten Strenger (CEO)</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Jürgen Lochner (CSO/CTO)</w:t>
                      </w:r>
                    </w:p>
                    <w:p>
                      <w:pPr>
                        <w:rPr>
                          <w:rFonts w:asciiTheme="minorHAnsi" w:hAnsiTheme="minorHAnsi" w:cstheme="minorHAnsi"/>
                          <w:b/>
                          <w:color w:val="808080" w:themeColor="background1" w:themeShade="80"/>
                          <w:sz w:val="18"/>
                          <w:szCs w:val="18"/>
                        </w:rPr>
                      </w:pPr>
                    </w:p>
                    <w:p>
                      <w:pPr>
                        <w:rPr>
                          <w:rFonts w:asciiTheme="minorHAnsi" w:hAnsiTheme="minorHAnsi" w:cstheme="minorHAnsi"/>
                          <w:b/>
                          <w:color w:val="808080" w:themeColor="background1" w:themeShade="80"/>
                          <w:sz w:val="18"/>
                          <w:szCs w:val="18"/>
                          <w:lang w:val="en-US"/>
                        </w:rPr>
                      </w:pPr>
                      <w:r>
                        <w:rPr>
                          <w:rFonts w:asciiTheme="minorHAnsi" w:hAnsiTheme="minorHAnsi" w:cstheme="minorHAnsi"/>
                          <w:b/>
                          <w:color w:val="808080" w:themeColor="background1" w:themeShade="80"/>
                          <w:sz w:val="18"/>
                          <w:szCs w:val="18"/>
                          <w:lang w:val="en-US"/>
                        </w:rPr>
                        <w:t>Press &amp; Public Relations</w:t>
                      </w:r>
                    </w:p>
                    <w:p>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Georg Sposny</w:t>
                      </w:r>
                    </w:p>
                    <w:p>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Phone +49 (0)7131 505-784</w:t>
                      </w:r>
                    </w:p>
                    <w:p>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georg.sposny@illig-group.com</w:t>
                      </w:r>
                    </w:p>
                    <w:p>
                      <w:pPr>
                        <w:rPr>
                          <w:rFonts w:asciiTheme="minorHAnsi" w:hAnsiTheme="minorHAnsi" w:cstheme="minorHAnsi"/>
                          <w:color w:val="808080" w:themeColor="background1" w:themeShade="80"/>
                          <w:sz w:val="18"/>
                          <w:szCs w:val="18"/>
                          <w:lang w:val="en-US"/>
                        </w:rPr>
                      </w:pPr>
                    </w:p>
                    <w:p>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www.illig.com</w:t>
                      </w:r>
                    </w:p>
                  </w:txbxContent>
                </v:textbox>
              </v:shape>
            </w:pict>
          </mc:Fallback>
        </mc:AlternateContent>
      </w:r>
      <w:r>
        <w:rPr>
          <w:rFonts w:ascii="Arial" w:hAnsi="Arial"/>
          <w:noProof/>
          <w:color w:val="808080" w:themeColor="background1" w:themeShade="80"/>
          <w:sz w:val="72"/>
          <w:szCs w:val="72"/>
        </w:rPr>
        <w:drawing>
          <wp:anchor distT="0" distB="0" distL="114300" distR="114300" simplePos="0" relativeHeight="251672064" behindDoc="0" locked="0" layoutInCell="1" allowOverlap="1">
            <wp:simplePos x="0" y="0"/>
            <wp:positionH relativeFrom="column">
              <wp:posOffset>2851785</wp:posOffset>
            </wp:positionH>
            <wp:positionV relativeFrom="paragraph">
              <wp:posOffset>-739775</wp:posOffset>
            </wp:positionV>
            <wp:extent cx="1129665" cy="1542415"/>
            <wp:effectExtent l="0" t="0" r="0" b="0"/>
            <wp:wrapNone/>
            <wp:docPr id="2" name="Grafik 2" descr="C:\Users\Sposny\AppData\Local\Microsoft\Windows\INetCache\Content.Outlook\04EZ55U8\ILLIG_zertifikat_20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posny\AppData\Local\Microsoft\Windows\INetCache\Content.Outlook\04EZ55U8\ILLIG_zertifikat_202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29665" cy="1542415"/>
                    </a:xfrm>
                    <a:prstGeom prst="rect">
                      <a:avLst/>
                    </a:prstGeom>
                    <a:noFill/>
                    <a:ln>
                      <a:noFill/>
                    </a:ln>
                  </pic:spPr>
                </pic:pic>
              </a:graphicData>
            </a:graphic>
          </wp:anchor>
        </w:drawing>
      </w:r>
    </w:p>
    <w:p>
      <w:pPr>
        <w:tabs>
          <w:tab w:val="left" w:pos="2550"/>
        </w:tabs>
        <w:rPr>
          <w:rFonts w:ascii="Arial" w:hAnsi="Arial"/>
          <w:color w:val="808080" w:themeColor="background1" w:themeShade="80"/>
          <w:sz w:val="72"/>
          <w:szCs w:val="72"/>
          <w:lang w:val="en-US"/>
        </w:rPr>
      </w:pPr>
    </w:p>
    <w:p>
      <w:pPr>
        <w:tabs>
          <w:tab w:val="left" w:pos="2550"/>
        </w:tabs>
        <w:rPr>
          <w:rFonts w:ascii="Arial" w:hAnsi="Arial"/>
          <w:color w:val="808080" w:themeColor="background1" w:themeShade="80"/>
          <w:sz w:val="72"/>
          <w:szCs w:val="72"/>
          <w:lang w:val="en-US"/>
        </w:rPr>
      </w:pPr>
    </w:p>
    <w:p>
      <w:pPr>
        <w:rPr>
          <w:rFonts w:ascii="Arial" w:hAnsi="Arial"/>
          <w:b/>
          <w:color w:val="808080" w:themeColor="background1" w:themeShade="80"/>
          <w:sz w:val="48"/>
          <w:szCs w:val="72"/>
          <w:lang w:val="en-US"/>
        </w:rPr>
      </w:pPr>
      <w:bookmarkStart w:id="0" w:name="OLE_LINK3"/>
      <w:r>
        <w:rPr>
          <w:rFonts w:ascii="Arial" w:hAnsi="Arial"/>
          <w:b/>
          <w:color w:val="808080" w:themeColor="background1" w:themeShade="80"/>
          <w:sz w:val="52"/>
          <w:szCs w:val="72"/>
          <w:lang w:val="en-US"/>
        </w:rPr>
        <w:t>新闻稿</w:t>
      </w:r>
    </w:p>
    <w:p>
      <w:pPr>
        <w:rPr>
          <w:rFonts w:ascii="Arial" w:hAnsi="Arial"/>
          <w:color w:val="808080" w:themeColor="background1" w:themeShade="80"/>
          <w:sz w:val="48"/>
          <w:szCs w:val="72"/>
        </w:rPr>
      </w:pPr>
    </w:p>
    <w:p>
      <w:pPr>
        <w:rPr>
          <w:rFonts w:ascii="Arial" w:hAnsi="Arial"/>
          <w:color w:val="808080" w:themeColor="background1" w:themeShade="80"/>
          <w:sz w:val="48"/>
          <w:szCs w:val="72"/>
        </w:rPr>
      </w:pPr>
    </w:p>
    <w:p>
      <w:pPr>
        <w:rPr>
          <w:rFonts w:ascii="Arial" w:hAnsi="Arial"/>
          <w:color w:val="808080" w:themeColor="background1" w:themeShade="80"/>
          <w:sz w:val="48"/>
          <w:szCs w:val="72"/>
        </w:rPr>
      </w:pPr>
      <w:r>
        <w:rPr>
          <w:rFonts w:ascii="Arial" w:hAnsi="Arial"/>
          <w:noProof/>
          <w:color w:val="808080" w:themeColor="background1" w:themeShade="80"/>
          <w:sz w:val="48"/>
          <w:szCs w:val="72"/>
        </w:rPr>
        <w:drawing>
          <wp:inline distT="0" distB="0" distL="0" distR="0">
            <wp:extent cx="1282700" cy="925376"/>
            <wp:effectExtent l="0" t="0" r="0" b="8255"/>
            <wp:docPr id="5" name="Grafik 5" descr="G:\vk\werbung\PR\01.00.00_Veröffentlichungen\Pressemitteilungen\2021\07_Juli\PR Fachpack\Logo_Fachpack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vk\werbung\PR\01.00.00_Veröffentlichungen\Pressemitteilungen\2021\07_Juli\PR Fachpack\Logo_Fachpack2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08712" cy="944142"/>
                    </a:xfrm>
                    <a:prstGeom prst="rect">
                      <a:avLst/>
                    </a:prstGeom>
                    <a:noFill/>
                    <a:ln>
                      <a:noFill/>
                    </a:ln>
                  </pic:spPr>
                </pic:pic>
              </a:graphicData>
            </a:graphic>
          </wp:inline>
        </w:drawing>
      </w:r>
    </w:p>
    <w:p>
      <w:pPr>
        <w:rPr>
          <w:rFonts w:ascii="Arial" w:hAnsi="Arial"/>
          <w:color w:val="808080" w:themeColor="background1" w:themeShade="80"/>
          <w:sz w:val="20"/>
          <w:szCs w:val="72"/>
        </w:rPr>
      </w:pPr>
    </w:p>
    <w:p>
      <w:pPr>
        <w:autoSpaceDE w:val="0"/>
        <w:autoSpaceDN w:val="0"/>
        <w:spacing w:before="360" w:line="360" w:lineRule="auto"/>
        <w:textAlignment w:val="center"/>
        <w:rPr>
          <w:rFonts w:ascii="Arial" w:eastAsia="PMingLiU" w:hAnsi="Arial"/>
          <w:sz w:val="32"/>
          <w:szCs w:val="32"/>
          <w:lang w:eastAsia="zh-CN"/>
        </w:rPr>
      </w:pPr>
      <w:r>
        <w:rPr>
          <w:rFonts w:ascii="Arial" w:eastAsia="PMingLiU" w:hAnsi="Arial" w:hint="eastAsia"/>
          <w:sz w:val="32"/>
          <w:szCs w:val="32"/>
          <w:lang w:eastAsia="zh-CN"/>
        </w:rPr>
        <w:t>Fachpack</w:t>
      </w:r>
      <w:r>
        <w:rPr>
          <w:rFonts w:ascii="Arial" w:eastAsia="PMingLiU" w:hAnsi="Arial" w:hint="eastAsia"/>
          <w:sz w:val="32"/>
          <w:szCs w:val="32"/>
          <w:lang w:eastAsia="zh-CN"/>
        </w:rPr>
        <w:t>：</w:t>
      </w:r>
      <w:r>
        <w:rPr>
          <w:rFonts w:ascii="MS Gothic" w:eastAsia="MS Gothic" w:hAnsi="MS Gothic" w:cs="MS Gothic" w:hint="eastAsia"/>
          <w:sz w:val="32"/>
          <w:szCs w:val="32"/>
          <w:lang w:val="en-US" w:eastAsia="zh-CN"/>
        </w:rPr>
        <w:t>可持</w:t>
      </w:r>
      <w:r>
        <w:rPr>
          <w:rFonts w:ascii="Microsoft JhengHei" w:eastAsia="Microsoft JhengHei" w:hAnsi="Microsoft JhengHei" w:cs="Microsoft JhengHei" w:hint="eastAsia"/>
          <w:sz w:val="32"/>
          <w:szCs w:val="32"/>
          <w:lang w:val="en-US" w:eastAsia="zh-CN"/>
        </w:rPr>
        <w:t>续全纸泡罩包装</w:t>
      </w:r>
    </w:p>
    <w:p>
      <w:pPr>
        <w:autoSpaceDE w:val="0"/>
        <w:autoSpaceDN w:val="0"/>
        <w:spacing w:before="360" w:line="360" w:lineRule="auto"/>
        <w:textAlignment w:val="center"/>
        <w:rPr>
          <w:rFonts w:ascii="Arial" w:eastAsia="PMingLiU" w:hAnsi="Arial"/>
          <w:sz w:val="24"/>
          <w:lang w:val="en-US" w:eastAsia="zh-CN"/>
        </w:rPr>
      </w:pPr>
      <w:r>
        <w:rPr>
          <w:rFonts w:ascii="MS Gothic" w:eastAsia="PMingLiU" w:hAnsi="MS Gothic" w:cs="MS Gothic"/>
          <w:sz w:val="24"/>
          <w:lang w:val="en-US" w:eastAsia="zh-CN"/>
        </w:rPr>
        <w:t>德国</w:t>
      </w:r>
      <w:r>
        <w:rPr>
          <w:rFonts w:ascii="Malgun Gothic Semilight" w:eastAsia="Malgun Gothic Semilight" w:hAnsi="Malgun Gothic Semilight" w:cs="Malgun Gothic Semilight" w:hint="eastAsia"/>
          <w:sz w:val="24"/>
          <w:lang w:eastAsia="zh-CN"/>
        </w:rPr>
        <w:t>，</w:t>
      </w:r>
      <w:r>
        <w:rPr>
          <w:rFonts w:ascii="MS Gothic" w:eastAsia="PMingLiU" w:hAnsi="MS Gothic" w:cs="MS Gothic"/>
          <w:sz w:val="24"/>
          <w:lang w:val="en-US" w:eastAsia="zh-CN"/>
        </w:rPr>
        <w:t>海</w:t>
      </w:r>
      <w:r>
        <w:rPr>
          <w:rFonts w:ascii="Malgun Gothic" w:eastAsia="PMingLiU" w:hAnsi="Malgun Gothic" w:cs="Malgun Gothic"/>
          <w:sz w:val="24"/>
          <w:lang w:val="en-US" w:eastAsia="zh-CN"/>
        </w:rPr>
        <w:t>尔布隆</w:t>
      </w:r>
      <w:r>
        <w:rPr>
          <w:rFonts w:ascii="Malgun Gothic Semilight" w:eastAsia="Malgun Gothic Semilight" w:hAnsi="Malgun Gothic Semilight" w:cs="Malgun Gothic Semilight" w:hint="eastAsia"/>
          <w:sz w:val="24"/>
          <w:lang w:eastAsia="zh-CN"/>
        </w:rPr>
        <w:t>，</w:t>
      </w:r>
      <w:r>
        <w:rPr>
          <w:rFonts w:ascii="Arial" w:eastAsia="PMingLiU" w:hAnsi="Arial" w:hint="eastAsia"/>
          <w:sz w:val="24"/>
          <w:lang w:eastAsia="zh-CN"/>
        </w:rPr>
        <w:t>2021</w:t>
      </w:r>
      <w:r>
        <w:rPr>
          <w:rFonts w:ascii="MS Gothic" w:eastAsia="MS Gothic" w:hAnsi="MS Gothic" w:cs="MS Gothic" w:hint="eastAsia"/>
          <w:sz w:val="24"/>
          <w:lang w:val="en-US" w:eastAsia="zh-CN"/>
        </w:rPr>
        <w:t>年</w:t>
      </w:r>
      <w:r>
        <w:rPr>
          <w:rFonts w:ascii="Arial" w:eastAsia="PMingLiU" w:hAnsi="Arial" w:hint="eastAsia"/>
          <w:sz w:val="24"/>
          <w:lang w:eastAsia="zh-CN"/>
        </w:rPr>
        <w:t>7</w:t>
      </w:r>
      <w:r>
        <w:rPr>
          <w:rFonts w:ascii="MS Gothic" w:eastAsia="MS Gothic" w:hAnsi="MS Gothic" w:cs="MS Gothic" w:hint="eastAsia"/>
          <w:sz w:val="24"/>
          <w:lang w:val="en-US" w:eastAsia="zh-CN"/>
        </w:rPr>
        <w:t>月</w:t>
      </w:r>
      <w:r>
        <w:rPr>
          <w:rFonts w:ascii="Arial" w:eastAsia="PMingLiU" w:hAnsi="Arial" w:hint="eastAsia"/>
          <w:sz w:val="24"/>
          <w:lang w:eastAsia="zh-CN"/>
        </w:rPr>
        <w:t>16</w:t>
      </w:r>
      <w:r>
        <w:rPr>
          <w:rFonts w:ascii="MS Gothic" w:eastAsia="MS Gothic" w:hAnsi="MS Gothic" w:cs="MS Gothic" w:hint="eastAsia"/>
          <w:sz w:val="24"/>
          <w:lang w:val="en-US" w:eastAsia="zh-CN"/>
        </w:rPr>
        <w:t>日</w:t>
      </w:r>
      <w:r>
        <w:rPr>
          <w:rFonts w:ascii="Malgun Gothic Semilight" w:eastAsia="Malgun Gothic Semilight" w:hAnsi="Malgun Gothic Semilight" w:cs="Malgun Gothic Semilight" w:hint="eastAsia"/>
          <w:sz w:val="24"/>
          <w:lang w:eastAsia="zh-CN"/>
        </w:rPr>
        <w:t>——</w:t>
      </w:r>
      <w:r>
        <w:rPr>
          <w:rFonts w:ascii="Arial" w:eastAsia="PMingLiU" w:hAnsi="Arial" w:hint="eastAsia"/>
          <w:sz w:val="24"/>
          <w:lang w:eastAsia="zh-CN"/>
        </w:rPr>
        <w:t>9</w:t>
      </w:r>
      <w:r>
        <w:rPr>
          <w:rFonts w:ascii="MS Gothic" w:eastAsia="MS Gothic" w:hAnsi="MS Gothic" w:cs="MS Gothic" w:hint="eastAsia"/>
          <w:sz w:val="24"/>
          <w:lang w:val="en-US" w:eastAsia="zh-CN"/>
        </w:rPr>
        <w:t>月</w:t>
      </w:r>
      <w:r>
        <w:rPr>
          <w:rFonts w:ascii="Arial" w:eastAsia="PMingLiU" w:hAnsi="Arial" w:hint="eastAsia"/>
          <w:sz w:val="24"/>
          <w:lang w:eastAsia="zh-CN"/>
        </w:rPr>
        <w:t>28</w:t>
      </w:r>
      <w:r>
        <w:rPr>
          <w:rFonts w:ascii="MS Gothic" w:eastAsia="MS Gothic" w:hAnsi="MS Gothic" w:cs="MS Gothic" w:hint="eastAsia"/>
          <w:sz w:val="24"/>
          <w:lang w:val="en-US" w:eastAsia="zh-CN"/>
        </w:rPr>
        <w:t>日至</w:t>
      </w:r>
      <w:r>
        <w:rPr>
          <w:rFonts w:ascii="Arial" w:eastAsia="PMingLiU" w:hAnsi="Arial" w:hint="eastAsia"/>
          <w:sz w:val="24"/>
          <w:lang w:eastAsia="zh-CN"/>
        </w:rPr>
        <w:t>30</w:t>
      </w:r>
      <w:r>
        <w:rPr>
          <w:rFonts w:ascii="MS Gothic" w:eastAsia="MS Gothic" w:hAnsi="MS Gothic" w:cs="MS Gothic" w:hint="eastAsia"/>
          <w:sz w:val="24"/>
          <w:lang w:val="en-US" w:eastAsia="zh-CN"/>
        </w:rPr>
        <w:t>日</w:t>
      </w:r>
      <w:r>
        <w:rPr>
          <w:rFonts w:ascii="Malgun Gothic Semilight" w:eastAsia="Malgun Gothic Semilight" w:hAnsi="Malgun Gothic Semilight" w:cs="Malgun Gothic Semilight" w:hint="eastAsia"/>
          <w:sz w:val="24"/>
          <w:lang w:eastAsia="zh-CN"/>
        </w:rPr>
        <w:t>，</w:t>
      </w:r>
      <w:r>
        <w:rPr>
          <w:rFonts w:ascii="MS Gothic" w:eastAsia="MS Gothic" w:hAnsi="MS Gothic" w:cs="MS Gothic" w:hint="eastAsia"/>
          <w:sz w:val="24"/>
          <w:lang w:val="en-US" w:eastAsia="zh-CN"/>
        </w:rPr>
        <w:t>在</w:t>
      </w:r>
      <w:r>
        <w:rPr>
          <w:rFonts w:ascii="Microsoft JhengHei" w:eastAsia="Microsoft JhengHei" w:hAnsi="Microsoft JhengHei" w:cs="Microsoft JhengHei" w:hint="eastAsia"/>
          <w:sz w:val="24"/>
          <w:lang w:val="en-US" w:eastAsia="zh-CN"/>
        </w:rPr>
        <w:t>纽伦堡的</w:t>
      </w:r>
      <w:r>
        <w:rPr>
          <w:rFonts w:ascii="Arial" w:eastAsia="PMingLiU" w:hAnsi="Arial" w:hint="eastAsia"/>
          <w:sz w:val="24"/>
          <w:lang w:eastAsia="zh-CN"/>
        </w:rPr>
        <w:t>Fachpack</w:t>
      </w:r>
      <w:r>
        <w:rPr>
          <w:rFonts w:ascii="Arial" w:eastAsia="PMingLiU" w:hAnsi="Arial" w:hint="eastAsia"/>
          <w:sz w:val="24"/>
          <w:lang w:eastAsia="zh-CN"/>
        </w:rPr>
        <w:t>，</w:t>
      </w:r>
      <w:r>
        <w:rPr>
          <w:rFonts w:ascii="Arial" w:eastAsia="PMingLiU" w:hAnsi="Arial" w:hint="eastAsia"/>
          <w:sz w:val="24"/>
          <w:lang w:eastAsia="zh-CN"/>
        </w:rPr>
        <w:t xml:space="preserve">ILLIG </w:t>
      </w:r>
      <w:r>
        <w:rPr>
          <w:rFonts w:ascii="MS Gothic" w:eastAsia="MS Gothic" w:hAnsi="MS Gothic" w:cs="MS Gothic" w:hint="eastAsia"/>
          <w:sz w:val="24"/>
          <w:lang w:val="en-US" w:eastAsia="zh-CN"/>
        </w:rPr>
        <w:t>伊利格将演示如何在一个</w:t>
      </w:r>
      <w:r>
        <w:rPr>
          <w:rFonts w:ascii="Microsoft JhengHei" w:eastAsia="Microsoft JhengHei" w:hAnsi="Microsoft JhengHei" w:cs="Microsoft JhengHei" w:hint="eastAsia"/>
          <w:sz w:val="24"/>
          <w:lang w:val="en-US" w:eastAsia="zh-CN"/>
        </w:rPr>
        <w:t>单一的包装系统上用不同设计和内容的再生纸板灵活地生产可持续的全纸泡罩</w:t>
      </w:r>
      <w:r>
        <w:rPr>
          <w:rFonts w:ascii="Malgun Gothic Semilight" w:eastAsia="Malgun Gothic Semilight" w:hAnsi="Malgun Gothic Semilight" w:cs="Malgun Gothic Semilight" w:hint="eastAsia"/>
          <w:sz w:val="24"/>
          <w:lang w:val="en-US" w:eastAsia="zh-CN"/>
        </w:rPr>
        <w:t>。</w:t>
      </w:r>
      <w:r>
        <w:rPr>
          <w:rFonts w:ascii="MS Gothic" w:eastAsia="MS Gothic" w:hAnsi="MS Gothic" w:cs="MS Gothic" w:hint="eastAsia"/>
          <w:sz w:val="24"/>
          <w:lang w:val="en-US" w:eastAsia="zh-CN"/>
        </w:rPr>
        <w:t>因</w:t>
      </w:r>
      <w:r>
        <w:rPr>
          <w:rFonts w:ascii="Microsoft JhengHei" w:eastAsia="Microsoft JhengHei" w:hAnsi="Microsoft JhengHei" w:cs="Microsoft JhengHei" w:hint="eastAsia"/>
          <w:sz w:val="24"/>
          <w:lang w:val="en-US" w:eastAsia="zh-CN"/>
        </w:rPr>
        <w:t>为少即是多</w:t>
      </w:r>
      <w:r>
        <w:rPr>
          <w:rFonts w:ascii="Arial" w:eastAsia="PMingLiU" w:hAnsi="Arial" w:hint="eastAsia"/>
          <w:sz w:val="24"/>
          <w:lang w:val="en-US" w:eastAsia="zh-CN"/>
        </w:rPr>
        <w:t>、</w:t>
      </w:r>
      <w:r>
        <w:rPr>
          <w:rFonts w:ascii="Microsoft JhengHei" w:eastAsia="Microsoft JhengHei" w:hAnsi="Microsoft JhengHei" w:cs="Microsoft JhengHei" w:hint="eastAsia"/>
          <w:sz w:val="24"/>
          <w:lang w:val="en-US" w:eastAsia="zh-CN"/>
        </w:rPr>
        <w:t>简单即美</w:t>
      </w:r>
      <w:r>
        <w:rPr>
          <w:rFonts w:ascii="Arial" w:eastAsia="PMingLiU" w:hAnsi="Arial" w:hint="eastAsia"/>
          <w:sz w:val="24"/>
          <w:lang w:val="en-US" w:eastAsia="zh-CN"/>
        </w:rPr>
        <w:t>：</w:t>
      </w:r>
      <w:r>
        <w:rPr>
          <w:rFonts w:ascii="Arial" w:eastAsia="PMingLiU" w:hAnsi="Arial" w:hint="eastAsia"/>
          <w:sz w:val="24"/>
          <w:lang w:val="en-US" w:eastAsia="zh-CN"/>
        </w:rPr>
        <w:t>[</w:t>
      </w:r>
      <w:r>
        <w:rPr>
          <w:rFonts w:ascii="MS Gothic" w:eastAsia="MS Gothic" w:hAnsi="MS Gothic" w:cs="MS Gothic" w:hint="eastAsia"/>
          <w:sz w:val="24"/>
          <w:lang w:val="en-US" w:eastAsia="zh-CN"/>
        </w:rPr>
        <w:t>减少</w:t>
      </w:r>
      <w:r>
        <w:rPr>
          <w:rFonts w:ascii="Malgun Gothic Semilight" w:eastAsia="Malgun Gothic Semilight" w:hAnsi="Malgun Gothic Semilight" w:cs="Malgun Gothic Semilight" w:hint="eastAsia"/>
          <w:sz w:val="24"/>
          <w:lang w:val="en-US" w:eastAsia="zh-CN"/>
        </w:rPr>
        <w:t>—</w:t>
      </w:r>
      <w:r>
        <w:rPr>
          <w:rFonts w:ascii="MS Gothic" w:eastAsia="MS Gothic" w:hAnsi="MS Gothic" w:cs="MS Gothic" w:hint="eastAsia"/>
          <w:sz w:val="24"/>
          <w:lang w:val="en-US" w:eastAsia="zh-CN"/>
        </w:rPr>
        <w:t>重复使用</w:t>
      </w:r>
      <w:r>
        <w:rPr>
          <w:rFonts w:ascii="Malgun Gothic Semilight" w:eastAsia="Malgun Gothic Semilight" w:hAnsi="Malgun Gothic Semilight" w:cs="Malgun Gothic Semilight" w:hint="eastAsia"/>
          <w:sz w:val="24"/>
          <w:lang w:val="en-US" w:eastAsia="zh-CN"/>
        </w:rPr>
        <w:t>—</w:t>
      </w:r>
      <w:r>
        <w:rPr>
          <w:rFonts w:ascii="MS Gothic" w:eastAsia="MS Gothic" w:hAnsi="MS Gothic" w:cs="MS Gothic" w:hint="eastAsia"/>
          <w:sz w:val="24"/>
          <w:lang w:val="en-US" w:eastAsia="zh-CN"/>
        </w:rPr>
        <w:t>分离</w:t>
      </w:r>
      <w:r>
        <w:rPr>
          <w:rFonts w:ascii="Malgun Gothic Semilight" w:eastAsia="Malgun Gothic Semilight" w:hAnsi="Malgun Gothic Semilight" w:cs="Malgun Gothic Semilight" w:hint="eastAsia"/>
          <w:sz w:val="24"/>
          <w:lang w:val="en-US" w:eastAsia="zh-CN"/>
        </w:rPr>
        <w:t>—</w:t>
      </w:r>
      <w:r>
        <w:rPr>
          <w:rFonts w:ascii="MS Gothic" w:eastAsia="MS Gothic" w:hAnsi="MS Gothic" w:cs="MS Gothic" w:hint="eastAsia"/>
          <w:sz w:val="24"/>
          <w:lang w:val="en-US" w:eastAsia="zh-CN"/>
        </w:rPr>
        <w:t>回收</w:t>
      </w:r>
      <w:r>
        <w:rPr>
          <w:rFonts w:ascii="Malgun Gothic Semilight" w:eastAsia="Malgun Gothic Semilight" w:hAnsi="Malgun Gothic Semilight" w:cs="Malgun Gothic Semilight" w:hint="eastAsia"/>
          <w:sz w:val="24"/>
          <w:lang w:val="en-US" w:eastAsia="zh-CN"/>
        </w:rPr>
        <w:t>—</w:t>
      </w:r>
      <w:r>
        <w:rPr>
          <w:rFonts w:ascii="MS Gothic" w:eastAsia="MS Gothic" w:hAnsi="MS Gothic" w:cs="MS Gothic" w:hint="eastAsia"/>
          <w:sz w:val="24"/>
          <w:lang w:val="en-US" w:eastAsia="zh-CN"/>
        </w:rPr>
        <w:t>更新</w:t>
      </w:r>
      <w:r>
        <w:rPr>
          <w:rFonts w:ascii="Arial" w:eastAsia="PMingLiU" w:hAnsi="Arial" w:hint="eastAsia"/>
          <w:sz w:val="24"/>
          <w:lang w:val="en-US" w:eastAsia="zh-CN"/>
        </w:rPr>
        <w:t>]</w:t>
      </w:r>
    </w:p>
    <w:p>
      <w:pPr>
        <w:autoSpaceDE w:val="0"/>
        <w:autoSpaceDN w:val="0"/>
        <w:spacing w:before="360" w:line="360" w:lineRule="auto"/>
        <w:textAlignment w:val="center"/>
        <w:rPr>
          <w:rFonts w:ascii="Arial" w:eastAsia="PMingLiU" w:hAnsi="Arial"/>
          <w:sz w:val="24"/>
          <w:lang w:val="en-US" w:eastAsia="zh-CN"/>
        </w:rPr>
      </w:pPr>
      <w:r>
        <w:rPr>
          <w:rFonts w:ascii="MS Gothic" w:eastAsia="PMingLiU" w:hAnsi="MS Gothic" w:cs="MS Gothic"/>
          <w:sz w:val="24"/>
          <w:lang w:val="en-US" w:eastAsia="zh-CN"/>
        </w:rPr>
        <w:t>在</w:t>
      </w:r>
      <w:r>
        <w:rPr>
          <w:rFonts w:ascii="Arial" w:eastAsia="PMingLiU" w:hAnsi="Arial" w:hint="eastAsia"/>
          <w:sz w:val="24"/>
          <w:lang w:val="en-US" w:eastAsia="zh-CN"/>
        </w:rPr>
        <w:t>1</w:t>
      </w:r>
      <w:r>
        <w:rPr>
          <w:rFonts w:ascii="MS Gothic" w:eastAsia="PMingLiU" w:hAnsi="MS Gothic" w:cs="MS Gothic"/>
          <w:sz w:val="24"/>
          <w:lang w:val="en-US" w:eastAsia="zh-CN"/>
        </w:rPr>
        <w:t>号展</w:t>
      </w:r>
      <w:r>
        <w:rPr>
          <w:rFonts w:ascii="Microsoft JhengHei" w:eastAsia="Microsoft JhengHei" w:hAnsi="Microsoft JhengHei" w:cs="Microsoft JhengHei" w:hint="eastAsia"/>
          <w:sz w:val="24"/>
          <w:lang w:val="en-US" w:eastAsia="zh-CN"/>
        </w:rPr>
        <w:t>厅</w:t>
      </w:r>
      <w:r>
        <w:rPr>
          <w:rFonts w:ascii="Arial" w:eastAsia="PMingLiU" w:hAnsi="Arial" w:hint="eastAsia"/>
          <w:sz w:val="24"/>
          <w:lang w:val="en-US" w:eastAsia="zh-CN"/>
        </w:rPr>
        <w:t>205</w:t>
      </w:r>
      <w:r>
        <w:rPr>
          <w:rFonts w:ascii="MS Gothic" w:eastAsia="PMingLiU" w:hAnsi="MS Gothic" w:cs="MS Gothic"/>
          <w:sz w:val="24"/>
          <w:lang w:val="en-US" w:eastAsia="zh-CN"/>
        </w:rPr>
        <w:t>号展位</w:t>
      </w:r>
      <w:r>
        <w:rPr>
          <w:rFonts w:ascii="Malgun Gothic Semilight" w:eastAsia="Malgun Gothic Semilight" w:hAnsi="Malgun Gothic Semilight" w:cs="Malgun Gothic Semilight" w:hint="eastAsia"/>
          <w:sz w:val="24"/>
          <w:lang w:val="en-US" w:eastAsia="zh-CN"/>
        </w:rPr>
        <w:t>，</w:t>
      </w:r>
      <w:r>
        <w:rPr>
          <w:rFonts w:ascii="MS Gothic" w:eastAsia="PMingLiU" w:hAnsi="MS Gothic" w:cs="MS Gothic"/>
          <w:sz w:val="24"/>
          <w:lang w:val="en-US" w:eastAsia="zh-CN"/>
        </w:rPr>
        <w:t>伊利格将展示最新版本的</w:t>
      </w:r>
      <w:r>
        <w:rPr>
          <w:rFonts w:ascii="Arial" w:eastAsia="PMingLiU" w:hAnsi="Arial" w:hint="eastAsia"/>
          <w:sz w:val="24"/>
          <w:lang w:val="en-US" w:eastAsia="zh-CN"/>
        </w:rPr>
        <w:t>HSU 35b</w:t>
      </w:r>
      <w:r>
        <w:rPr>
          <w:rFonts w:ascii="MS Gothic" w:eastAsia="PMingLiU" w:hAnsi="MS Gothic" w:cs="MS Gothic"/>
          <w:sz w:val="24"/>
          <w:lang w:val="en-US" w:eastAsia="zh-CN"/>
        </w:rPr>
        <w:t>包装系列</w:t>
      </w:r>
      <w:r>
        <w:rPr>
          <w:rFonts w:ascii="Malgun Gothic Semilight" w:eastAsia="Malgun Gothic Semilight" w:hAnsi="Malgun Gothic Semilight" w:cs="Malgun Gothic Semilight" w:hint="eastAsia"/>
          <w:sz w:val="24"/>
          <w:lang w:val="en-US" w:eastAsia="zh-CN"/>
        </w:rPr>
        <w:t>。</w:t>
      </w:r>
      <w:r>
        <w:rPr>
          <w:rFonts w:ascii="Microsoft JhengHei" w:eastAsia="Microsoft JhengHei" w:hAnsi="Microsoft JhengHei" w:cs="Microsoft JhengHei" w:hint="eastAsia"/>
          <w:sz w:val="24"/>
          <w:lang w:val="en-US" w:eastAsia="zh-CN"/>
        </w:rPr>
        <w:t>该系统适用于由硬纸板</w:t>
      </w:r>
      <w:r>
        <w:rPr>
          <w:rFonts w:ascii="Arial" w:eastAsia="PMingLiU" w:hAnsi="Arial" w:hint="eastAsia"/>
          <w:sz w:val="24"/>
          <w:lang w:val="en-US" w:eastAsia="zh-CN"/>
        </w:rPr>
        <w:t>-</w:t>
      </w:r>
      <w:r>
        <w:rPr>
          <w:rFonts w:ascii="MS Gothic" w:eastAsia="PMingLiU" w:hAnsi="MS Gothic" w:cs="MS Gothic"/>
          <w:sz w:val="24"/>
          <w:lang w:val="en-US" w:eastAsia="zh-CN"/>
        </w:rPr>
        <w:t>塑料</w:t>
      </w:r>
      <w:r>
        <w:rPr>
          <w:rFonts w:ascii="Arial" w:eastAsia="PMingLiU" w:hAnsi="Arial" w:hint="eastAsia"/>
          <w:sz w:val="24"/>
          <w:lang w:val="en-US" w:eastAsia="zh-CN"/>
        </w:rPr>
        <w:t>-</w:t>
      </w:r>
      <w:r>
        <w:rPr>
          <w:rFonts w:ascii="Microsoft JhengHei" w:eastAsia="Microsoft JhengHei" w:hAnsi="Microsoft JhengHei" w:cs="Microsoft JhengHei" w:hint="eastAsia"/>
          <w:sz w:val="24"/>
          <w:lang w:val="en-US" w:eastAsia="zh-CN"/>
        </w:rPr>
        <w:t>纸板组合</w:t>
      </w:r>
      <w:r>
        <w:rPr>
          <w:rFonts w:ascii="Malgun Gothic Semilight" w:eastAsia="Malgun Gothic Semilight" w:hAnsi="Malgun Gothic Semilight" w:cs="Malgun Gothic Semilight" w:hint="eastAsia"/>
          <w:sz w:val="24"/>
          <w:lang w:val="en-US" w:eastAsia="zh-CN"/>
        </w:rPr>
        <w:t>（</w:t>
      </w:r>
      <w:r>
        <w:rPr>
          <w:rFonts w:ascii="MS Gothic" w:eastAsia="PMingLiU" w:hAnsi="MS Gothic" w:cs="MS Gothic"/>
          <w:sz w:val="24"/>
          <w:lang w:val="en-US" w:eastAsia="zh-CN"/>
        </w:rPr>
        <w:t>双卡泡罩</w:t>
      </w:r>
      <w:r>
        <w:rPr>
          <w:rFonts w:ascii="Malgun Gothic Semilight" w:eastAsia="Malgun Gothic Semilight" w:hAnsi="Malgun Gothic Semilight" w:cs="Malgun Gothic Semilight" w:hint="eastAsia"/>
          <w:sz w:val="24"/>
          <w:lang w:val="en-US" w:eastAsia="zh-CN"/>
        </w:rPr>
        <w:t>）</w:t>
      </w:r>
      <w:r>
        <w:rPr>
          <w:rFonts w:ascii="MS Gothic" w:eastAsia="PMingLiU" w:hAnsi="MS Gothic" w:cs="MS Gothic"/>
          <w:sz w:val="24"/>
          <w:lang w:val="en-US" w:eastAsia="zh-CN"/>
        </w:rPr>
        <w:t>或用于包装非食品和医</w:t>
      </w:r>
      <w:r>
        <w:rPr>
          <w:rFonts w:ascii="Microsoft JhengHei" w:eastAsia="Microsoft JhengHei" w:hAnsi="Microsoft JhengHei" w:cs="Microsoft JhengHei" w:hint="eastAsia"/>
          <w:sz w:val="24"/>
          <w:lang w:val="en-US" w:eastAsia="zh-CN"/>
        </w:rPr>
        <w:t>疗技术部门物品的实心纸板制成的安全可持续泡罩包装</w:t>
      </w:r>
      <w:r>
        <w:rPr>
          <w:rFonts w:ascii="Malgun Gothic Semilight" w:eastAsia="Malgun Gothic Semilight" w:hAnsi="Malgun Gothic Semilight" w:cs="Malgun Gothic Semilight" w:hint="eastAsia"/>
          <w:sz w:val="24"/>
          <w:lang w:val="en-US" w:eastAsia="zh-CN"/>
        </w:rPr>
        <w:t>。</w:t>
      </w:r>
      <w:r>
        <w:rPr>
          <w:rFonts w:ascii="Microsoft JhengHei" w:eastAsia="Microsoft JhengHei" w:hAnsi="Microsoft JhengHei" w:cs="Microsoft JhengHei" w:hint="eastAsia"/>
          <w:sz w:val="24"/>
          <w:lang w:val="en-US" w:eastAsia="zh-CN"/>
        </w:rPr>
        <w:t>经济高效的</w:t>
      </w:r>
      <w:r>
        <w:rPr>
          <w:rFonts w:ascii="Arial" w:eastAsia="PMingLiU" w:hAnsi="Arial" w:hint="eastAsia"/>
          <w:sz w:val="24"/>
          <w:lang w:val="en-US" w:eastAsia="zh-CN"/>
        </w:rPr>
        <w:t>HSU35b</w:t>
      </w:r>
      <w:r>
        <w:rPr>
          <w:rFonts w:ascii="MS Gothic" w:eastAsia="PMingLiU" w:hAnsi="MS Gothic" w:cs="MS Gothic"/>
          <w:sz w:val="24"/>
          <w:lang w:val="en-US" w:eastAsia="zh-CN"/>
        </w:rPr>
        <w:t>是</w:t>
      </w:r>
      <w:r>
        <w:rPr>
          <w:rFonts w:ascii="Microsoft JhengHei" w:eastAsia="Microsoft JhengHei" w:hAnsi="Microsoft JhengHei" w:cs="Microsoft JhengHei" w:hint="eastAsia"/>
          <w:sz w:val="24"/>
          <w:lang w:val="en-US" w:eastAsia="zh-CN"/>
        </w:rPr>
        <w:t>为可变泡罩高度而设计的</w:t>
      </w:r>
      <w:r>
        <w:rPr>
          <w:rFonts w:ascii="Malgun Gothic Semilight" w:eastAsia="Malgun Gothic Semilight" w:hAnsi="Malgun Gothic Semilight" w:cs="Malgun Gothic Semilight" w:hint="eastAsia"/>
          <w:sz w:val="24"/>
          <w:lang w:val="en-US" w:eastAsia="zh-CN"/>
        </w:rPr>
        <w:t>，</w:t>
      </w:r>
      <w:r>
        <w:rPr>
          <w:rFonts w:ascii="MS Gothic" w:eastAsia="PMingLiU" w:hAnsi="MS Gothic" w:cs="MS Gothic"/>
          <w:sz w:val="24"/>
          <w:lang w:val="en-US" w:eastAsia="zh-CN"/>
        </w:rPr>
        <w:t>可配置</w:t>
      </w:r>
      <w:r>
        <w:rPr>
          <w:rFonts w:ascii="Arial" w:eastAsia="PMingLiU" w:hAnsi="Arial" w:hint="eastAsia"/>
          <w:sz w:val="24"/>
          <w:lang w:val="en-US" w:eastAsia="zh-CN"/>
        </w:rPr>
        <w:t>3</w:t>
      </w:r>
      <w:r>
        <w:rPr>
          <w:rFonts w:ascii="Arial" w:eastAsia="PMingLiU" w:hAnsi="Arial" w:hint="eastAsia"/>
          <w:sz w:val="24"/>
          <w:lang w:val="en-US" w:eastAsia="zh-CN"/>
        </w:rPr>
        <w:t>、</w:t>
      </w:r>
      <w:r>
        <w:rPr>
          <w:rFonts w:ascii="Arial" w:eastAsia="PMingLiU" w:hAnsi="Arial" w:hint="eastAsia"/>
          <w:sz w:val="24"/>
          <w:lang w:val="en-US" w:eastAsia="zh-CN"/>
        </w:rPr>
        <w:t>6</w:t>
      </w:r>
      <w:r>
        <w:rPr>
          <w:rFonts w:ascii="Arial" w:eastAsia="PMingLiU" w:hAnsi="Arial" w:hint="eastAsia"/>
          <w:sz w:val="24"/>
          <w:lang w:val="en-US" w:eastAsia="zh-CN"/>
        </w:rPr>
        <w:t>、</w:t>
      </w:r>
      <w:r>
        <w:rPr>
          <w:rFonts w:ascii="Arial" w:eastAsia="PMingLiU" w:hAnsi="Arial" w:hint="eastAsia"/>
          <w:sz w:val="24"/>
          <w:lang w:val="en-US" w:eastAsia="zh-CN"/>
        </w:rPr>
        <w:t>8</w:t>
      </w:r>
      <w:r>
        <w:rPr>
          <w:rFonts w:ascii="Arial" w:eastAsia="PMingLiU" w:hAnsi="Arial" w:hint="eastAsia"/>
          <w:sz w:val="24"/>
          <w:lang w:val="en-US" w:eastAsia="zh-CN"/>
        </w:rPr>
        <w:t>、</w:t>
      </w:r>
      <w:r>
        <w:rPr>
          <w:rFonts w:ascii="Arial" w:eastAsia="PMingLiU" w:hAnsi="Arial" w:hint="eastAsia"/>
          <w:sz w:val="24"/>
          <w:lang w:val="en-US" w:eastAsia="zh-CN"/>
        </w:rPr>
        <w:t>10</w:t>
      </w:r>
      <w:r>
        <w:rPr>
          <w:rFonts w:ascii="MS Gothic" w:eastAsia="PMingLiU" w:hAnsi="MS Gothic" w:cs="MS Gothic"/>
          <w:sz w:val="24"/>
          <w:lang w:val="en-US" w:eastAsia="zh-CN"/>
        </w:rPr>
        <w:t>或</w:t>
      </w:r>
      <w:r>
        <w:rPr>
          <w:rFonts w:ascii="Arial" w:eastAsia="PMingLiU" w:hAnsi="Arial" w:hint="eastAsia"/>
          <w:sz w:val="24"/>
          <w:lang w:val="en-US" w:eastAsia="zh-CN"/>
        </w:rPr>
        <w:t>12</w:t>
      </w:r>
      <w:r>
        <w:rPr>
          <w:rFonts w:ascii="MS Gothic" w:eastAsia="PMingLiU" w:hAnsi="MS Gothic" w:cs="MS Gothic"/>
          <w:sz w:val="24"/>
          <w:lang w:val="en-US" w:eastAsia="zh-CN"/>
        </w:rPr>
        <w:t>个用于任何</w:t>
      </w:r>
      <w:r>
        <w:rPr>
          <w:rFonts w:ascii="Microsoft JhengHei" w:eastAsia="Microsoft JhengHei" w:hAnsi="Microsoft JhengHei" w:cs="Microsoft JhengHei" w:hint="eastAsia"/>
          <w:sz w:val="24"/>
          <w:lang w:val="en-US" w:eastAsia="zh-CN"/>
        </w:rPr>
        <w:t>应用的运输托盘</w:t>
      </w:r>
      <w:r>
        <w:rPr>
          <w:rFonts w:ascii="Malgun Gothic Semilight" w:eastAsia="Malgun Gothic Semilight" w:hAnsi="Malgun Gothic Semilight" w:cs="Malgun Gothic Semilight" w:hint="eastAsia"/>
          <w:sz w:val="24"/>
          <w:lang w:val="en-US" w:eastAsia="zh-CN"/>
        </w:rPr>
        <w:t>。</w:t>
      </w:r>
      <w:r>
        <w:rPr>
          <w:rFonts w:ascii="MS Gothic" w:eastAsia="PMingLiU" w:hAnsi="MS Gothic" w:cs="MS Gothic"/>
          <w:sz w:val="24"/>
          <w:lang w:val="en-US" w:eastAsia="zh-CN"/>
        </w:rPr>
        <w:t>包装系</w:t>
      </w:r>
      <w:r>
        <w:rPr>
          <w:rFonts w:ascii="Microsoft JhengHei" w:eastAsia="Microsoft JhengHei" w:hAnsi="Microsoft JhengHei" w:cs="Microsoft JhengHei" w:hint="eastAsia"/>
          <w:sz w:val="24"/>
          <w:lang w:val="en-US" w:eastAsia="zh-CN"/>
        </w:rPr>
        <w:t>统适应包装制造商的个性化要求</w:t>
      </w:r>
      <w:r>
        <w:rPr>
          <w:rFonts w:ascii="Malgun Gothic Semilight" w:eastAsia="Malgun Gothic Semilight" w:hAnsi="Malgun Gothic Semilight" w:cs="Malgun Gothic Semilight" w:hint="eastAsia"/>
          <w:sz w:val="24"/>
          <w:lang w:val="en-US" w:eastAsia="zh-CN"/>
        </w:rPr>
        <w:t>，</w:t>
      </w:r>
      <w:r>
        <w:rPr>
          <w:rFonts w:ascii="MS Gothic" w:eastAsia="PMingLiU" w:hAnsi="MS Gothic" w:cs="MS Gothic"/>
          <w:sz w:val="24"/>
          <w:lang w:val="en-US" w:eastAsia="zh-CN"/>
        </w:rPr>
        <w:t>具有多种</w:t>
      </w:r>
      <w:r>
        <w:rPr>
          <w:rFonts w:ascii="Microsoft JhengHei" w:eastAsia="Microsoft JhengHei" w:hAnsi="Microsoft JhengHei" w:cs="Microsoft JhengHei" w:hint="eastAsia"/>
          <w:sz w:val="24"/>
          <w:lang w:val="en-US" w:eastAsia="zh-CN"/>
        </w:rPr>
        <w:t>设备功能</w:t>
      </w:r>
      <w:r>
        <w:rPr>
          <w:rFonts w:ascii="Malgun Gothic Semilight" w:eastAsia="Malgun Gothic Semilight" w:hAnsi="Malgun Gothic Semilight" w:cs="Malgun Gothic Semilight" w:hint="eastAsia"/>
          <w:sz w:val="24"/>
          <w:lang w:val="en-US" w:eastAsia="zh-CN"/>
        </w:rPr>
        <w:t>。</w:t>
      </w:r>
      <w:r>
        <w:rPr>
          <w:rFonts w:ascii="MS Gothic" w:eastAsia="PMingLiU" w:hAnsi="MS Gothic" w:cs="MS Gothic"/>
          <w:sz w:val="24"/>
          <w:lang w:val="en-US" w:eastAsia="zh-CN"/>
        </w:rPr>
        <w:t>例如</w:t>
      </w:r>
      <w:r>
        <w:rPr>
          <w:rFonts w:ascii="Malgun Gothic Semilight" w:eastAsia="Malgun Gothic Semilight" w:hAnsi="Malgun Gothic Semilight" w:cs="Malgun Gothic Semilight" w:hint="eastAsia"/>
          <w:sz w:val="24"/>
          <w:lang w:val="en-US" w:eastAsia="zh-CN"/>
        </w:rPr>
        <w:t>，</w:t>
      </w:r>
      <w:r>
        <w:rPr>
          <w:rFonts w:ascii="Microsoft JhengHei" w:eastAsia="Microsoft JhengHei" w:hAnsi="Microsoft JhengHei" w:cs="Microsoft JhengHei" w:hint="eastAsia"/>
          <w:sz w:val="24"/>
          <w:lang w:val="en-US" w:eastAsia="zh-CN"/>
        </w:rPr>
        <w:t>产品自动送料</w:t>
      </w:r>
      <w:r>
        <w:rPr>
          <w:rFonts w:ascii="Malgun Gothic Semilight" w:eastAsia="Malgun Gothic Semilight" w:hAnsi="Malgun Gothic Semilight" w:cs="Malgun Gothic Semilight" w:hint="eastAsia"/>
          <w:sz w:val="24"/>
          <w:lang w:val="en-US" w:eastAsia="zh-CN"/>
        </w:rPr>
        <w:t>、</w:t>
      </w:r>
      <w:r>
        <w:rPr>
          <w:rFonts w:ascii="Microsoft JhengHei" w:eastAsia="Microsoft JhengHei" w:hAnsi="Microsoft JhengHei" w:cs="Microsoft JhengHei" w:hint="eastAsia"/>
          <w:sz w:val="24"/>
          <w:lang w:val="en-US" w:eastAsia="zh-CN"/>
        </w:rPr>
        <w:t>产品状态控制</w:t>
      </w:r>
      <w:r>
        <w:rPr>
          <w:rFonts w:ascii="Malgun Gothic Semilight" w:eastAsia="Malgun Gothic Semilight" w:hAnsi="Malgun Gothic Semilight" w:cs="Malgun Gothic Semilight" w:hint="eastAsia"/>
          <w:sz w:val="24"/>
          <w:lang w:val="en-US" w:eastAsia="zh-CN"/>
        </w:rPr>
        <w:t>、</w:t>
      </w:r>
      <w:r>
        <w:rPr>
          <w:rFonts w:ascii="MS Gothic" w:eastAsia="PMingLiU" w:hAnsi="MS Gothic" w:cs="MS Gothic"/>
          <w:sz w:val="24"/>
          <w:lang w:val="en-US" w:eastAsia="zh-CN"/>
        </w:rPr>
        <w:t>小册子的</w:t>
      </w:r>
      <w:r>
        <w:rPr>
          <w:rFonts w:ascii="Microsoft JhengHei" w:eastAsia="Microsoft JhengHei" w:hAnsi="Microsoft JhengHei" w:cs="Microsoft JhengHei" w:hint="eastAsia"/>
          <w:sz w:val="24"/>
          <w:lang w:val="en-US" w:eastAsia="zh-CN"/>
        </w:rPr>
        <w:t>产品镶嵌插页</w:t>
      </w:r>
      <w:r>
        <w:rPr>
          <w:rFonts w:ascii="Malgun Gothic Semilight" w:eastAsia="Malgun Gothic Semilight" w:hAnsi="Malgun Gothic Semilight" w:cs="Malgun Gothic Semilight" w:hint="eastAsia"/>
          <w:sz w:val="24"/>
          <w:lang w:val="en-US" w:eastAsia="zh-CN"/>
        </w:rPr>
        <w:t>、</w:t>
      </w:r>
      <w:r>
        <w:rPr>
          <w:rFonts w:ascii="MS Gothic" w:eastAsia="PMingLiU" w:hAnsi="MS Gothic" w:cs="MS Gothic"/>
          <w:sz w:val="24"/>
          <w:lang w:val="en-US" w:eastAsia="zh-CN"/>
        </w:rPr>
        <w:t>各种</w:t>
      </w:r>
      <w:r>
        <w:rPr>
          <w:rFonts w:ascii="Microsoft JhengHei" w:eastAsia="Microsoft JhengHei" w:hAnsi="Microsoft JhengHei" w:cs="Microsoft JhengHei" w:hint="eastAsia"/>
          <w:sz w:val="24"/>
          <w:lang w:val="en-US" w:eastAsia="zh-CN"/>
        </w:rPr>
        <w:t>标记系统</w:t>
      </w:r>
      <w:r>
        <w:rPr>
          <w:rFonts w:ascii="Malgun Gothic Semilight" w:eastAsia="Malgun Gothic Semilight" w:hAnsi="Malgun Gothic Semilight" w:cs="Malgun Gothic Semilight" w:hint="eastAsia"/>
          <w:sz w:val="24"/>
          <w:lang w:val="en-US" w:eastAsia="zh-CN"/>
        </w:rPr>
        <w:t>、</w:t>
      </w:r>
      <w:r>
        <w:rPr>
          <w:rFonts w:ascii="MS Gothic" w:eastAsia="PMingLiU" w:hAnsi="MS Gothic" w:cs="MS Gothic"/>
          <w:sz w:val="24"/>
          <w:lang w:val="en-US" w:eastAsia="zh-CN"/>
        </w:rPr>
        <w:t>代</w:t>
      </w:r>
      <w:r>
        <w:rPr>
          <w:rFonts w:ascii="Microsoft JhengHei" w:eastAsia="Microsoft JhengHei" w:hAnsi="Microsoft JhengHei" w:cs="Microsoft JhengHei" w:hint="eastAsia"/>
          <w:sz w:val="24"/>
          <w:lang w:val="en-US" w:eastAsia="zh-CN"/>
        </w:rPr>
        <w:t>码读取器和吸塑提升器</w:t>
      </w:r>
      <w:r>
        <w:rPr>
          <w:rFonts w:ascii="Malgun Gothic Semilight" w:eastAsia="Malgun Gothic Semilight" w:hAnsi="Malgun Gothic Semilight" w:cs="Malgun Gothic Semilight" w:hint="eastAsia"/>
          <w:sz w:val="24"/>
          <w:lang w:val="en-US" w:eastAsia="zh-CN"/>
        </w:rPr>
        <w:t>。</w:t>
      </w:r>
      <w:r>
        <w:rPr>
          <w:rFonts w:ascii="MS Gothic" w:eastAsia="PMingLiU" w:hAnsi="MS Gothic" w:cs="MS Gothic"/>
          <w:sz w:val="24"/>
          <w:lang w:val="en-US" w:eastAsia="zh-CN"/>
        </w:rPr>
        <w:t>伊利格包装系</w:t>
      </w:r>
      <w:r>
        <w:rPr>
          <w:rFonts w:ascii="Microsoft JhengHei" w:eastAsia="Microsoft JhengHei" w:hAnsi="Microsoft JhengHei" w:cs="Microsoft JhengHei" w:hint="eastAsia"/>
          <w:sz w:val="24"/>
          <w:lang w:val="en-US" w:eastAsia="zh-CN"/>
        </w:rPr>
        <w:t>统是模块化的</w:t>
      </w:r>
      <w:r>
        <w:rPr>
          <w:rFonts w:ascii="Malgun Gothic Semilight" w:eastAsia="Malgun Gothic Semilight" w:hAnsi="Malgun Gothic Semilight" w:cs="Malgun Gothic Semilight" w:hint="eastAsia"/>
          <w:sz w:val="24"/>
          <w:lang w:val="en-US" w:eastAsia="zh-CN"/>
        </w:rPr>
        <w:t>，</w:t>
      </w:r>
      <w:r>
        <w:rPr>
          <w:rFonts w:ascii="MS Gothic" w:eastAsia="PMingLiU" w:hAnsi="MS Gothic" w:cs="MS Gothic"/>
          <w:sz w:val="24"/>
          <w:lang w:val="en-US" w:eastAsia="zh-CN"/>
        </w:rPr>
        <w:t>灵活和有效的</w:t>
      </w:r>
      <w:r>
        <w:rPr>
          <w:rFonts w:ascii="Malgun Gothic Semilight" w:eastAsia="Malgun Gothic Semilight" w:hAnsi="Malgun Gothic Semilight" w:cs="Malgun Gothic Semilight" w:hint="eastAsia"/>
          <w:sz w:val="24"/>
          <w:lang w:val="en-US" w:eastAsia="zh-CN"/>
        </w:rPr>
        <w:t>，</w:t>
      </w:r>
      <w:r>
        <w:rPr>
          <w:rFonts w:ascii="MS Gothic" w:eastAsia="PMingLiU" w:hAnsi="MS Gothic" w:cs="MS Gothic"/>
          <w:sz w:val="24"/>
          <w:lang w:val="en-US" w:eastAsia="zh-CN"/>
        </w:rPr>
        <w:t>使品牌方和</w:t>
      </w:r>
      <w:r>
        <w:rPr>
          <w:rFonts w:ascii="Microsoft JhengHei" w:eastAsia="Microsoft JhengHei" w:hAnsi="Microsoft JhengHei" w:cs="Microsoft JhengHei" w:hint="eastAsia"/>
          <w:sz w:val="24"/>
          <w:lang w:val="en-US" w:eastAsia="zh-CN"/>
        </w:rPr>
        <w:t>联合包装商</w:t>
      </w:r>
      <w:r>
        <w:rPr>
          <w:rFonts w:ascii="MS Gothic" w:eastAsia="PMingLiU" w:hAnsi="MS Gothic" w:cs="MS Gothic"/>
          <w:sz w:val="24"/>
          <w:lang w:val="en-US" w:eastAsia="zh-CN"/>
        </w:rPr>
        <w:t>能自由</w:t>
      </w:r>
      <w:r>
        <w:rPr>
          <w:rFonts w:ascii="Microsoft JhengHei" w:eastAsia="Microsoft JhengHei" w:hAnsi="Microsoft JhengHei" w:cs="Microsoft JhengHei" w:hint="eastAsia"/>
          <w:sz w:val="24"/>
          <w:lang w:val="en-US" w:eastAsia="zh-CN"/>
        </w:rPr>
        <w:t>设计各种终端市场的可持续包装</w:t>
      </w:r>
      <w:r>
        <w:rPr>
          <w:rFonts w:ascii="Arial" w:eastAsia="PMingLiU" w:hAnsi="Arial" w:hint="eastAsia"/>
          <w:sz w:val="24"/>
          <w:lang w:val="en-US" w:eastAsia="zh-CN"/>
        </w:rPr>
        <w:t>。</w:t>
      </w:r>
    </w:p>
    <w:p>
      <w:pPr>
        <w:autoSpaceDE w:val="0"/>
        <w:autoSpaceDN w:val="0"/>
        <w:adjustRightInd w:val="0"/>
        <w:spacing w:before="120" w:line="360" w:lineRule="auto"/>
        <w:rPr>
          <w:rFonts w:asciiTheme="majorEastAsia" w:eastAsiaTheme="majorEastAsia" w:hAnsiTheme="majorEastAsia"/>
          <w:sz w:val="24"/>
          <w:lang w:val="en-US" w:eastAsia="zh-CN"/>
        </w:rPr>
      </w:pPr>
    </w:p>
    <w:p>
      <w:pPr>
        <w:pStyle w:val="Fuzeile"/>
        <w:tabs>
          <w:tab w:val="clear" w:pos="9072"/>
          <w:tab w:val="right" w:pos="8222"/>
        </w:tabs>
        <w:spacing w:after="120"/>
        <w:rPr>
          <w:rFonts w:asciiTheme="majorEastAsia" w:eastAsiaTheme="majorEastAsia" w:hAnsiTheme="majorEastAsia"/>
          <w:b/>
          <w:sz w:val="20"/>
          <w:szCs w:val="18"/>
          <w:lang w:val="en-US"/>
        </w:rPr>
      </w:pPr>
      <w:r>
        <w:rPr>
          <w:rFonts w:asciiTheme="majorEastAsia" w:eastAsiaTheme="majorEastAsia" w:hAnsiTheme="majorEastAsia" w:hint="eastAsia"/>
          <w:b/>
          <w:sz w:val="20"/>
          <w:szCs w:val="18"/>
          <w:lang w:val="en-US" w:eastAsia="zh-CN"/>
        </w:rPr>
        <w:t>关于德国ILLIG</w:t>
      </w:r>
    </w:p>
    <w:p>
      <w:pPr>
        <w:rPr>
          <w:rFonts w:asciiTheme="majorEastAsia" w:eastAsiaTheme="majorEastAsia" w:hAnsiTheme="majorEastAsia"/>
          <w:sz w:val="20"/>
        </w:rPr>
      </w:pPr>
      <w:r>
        <w:rPr>
          <w:rFonts w:asciiTheme="majorEastAsia" w:eastAsiaTheme="majorEastAsia" w:hAnsiTheme="majorEastAsia" w:hint="eastAsia"/>
          <w:lang w:val="en-US" w:eastAsia="zh-CN"/>
        </w:rPr>
        <w:t>伊利格</w:t>
      </w:r>
      <w:r>
        <w:rPr>
          <w:rFonts w:asciiTheme="majorEastAsia" w:eastAsiaTheme="majorEastAsia" w:hAnsiTheme="majorEastAsia" w:hint="eastAsia"/>
          <w:sz w:val="20"/>
        </w:rPr>
        <w:t>公司的产品和服务组合包括复杂生产线和组件的开发、设计、制造、安装和调试。凭借独特的360°定制热成型包装、Pactivity®高性能包装系统，伊利格为其客户提供资源友好和可持续的解决方案。在80多个国家设有分支机构和销售机构，ILLIG在全球所有市场都有当地业务。75年来，这家家族企业一直以可靠的合作伙伴的身份为全球客户提供服务，为复杂的精密热塑性塑料产品提供经济高效的制造，其创新技术具有无与伦比的质量和全面的全球售后支持。</w:t>
      </w:r>
    </w:p>
    <w:p>
      <w:pPr>
        <w:rPr>
          <w:rFonts w:asciiTheme="majorEastAsia" w:eastAsiaTheme="majorEastAsia" w:hAnsiTheme="majorEastAsia"/>
          <w:sz w:val="18"/>
          <w:lang w:eastAsia="zh-CN"/>
        </w:rPr>
      </w:pPr>
    </w:p>
    <w:bookmarkEnd w:id="0"/>
    <w:p>
      <w:pPr>
        <w:rPr>
          <w:rFonts w:asciiTheme="majorEastAsia" w:eastAsiaTheme="majorEastAsia" w:hAnsiTheme="majorEastAsia"/>
          <w:sz w:val="16"/>
        </w:rPr>
      </w:pPr>
      <w:r>
        <w:rPr>
          <w:rFonts w:asciiTheme="majorEastAsia" w:eastAsiaTheme="majorEastAsia" w:hAnsiTheme="majorEastAsia" w:hint="eastAsia"/>
          <w:sz w:val="16"/>
          <w:lang w:val="en-US"/>
        </w:rPr>
        <w:t>注</w:t>
      </w:r>
      <w:r>
        <w:rPr>
          <w:rFonts w:asciiTheme="majorEastAsia" w:eastAsiaTheme="majorEastAsia" w:hAnsiTheme="majorEastAsia" w:hint="eastAsia"/>
          <w:sz w:val="16"/>
        </w:rPr>
        <w:t>：</w:t>
      </w:r>
      <w:r>
        <w:rPr>
          <w:rFonts w:asciiTheme="majorEastAsia" w:eastAsiaTheme="majorEastAsia" w:hAnsiTheme="majorEastAsia" w:hint="eastAsia"/>
          <w:sz w:val="16"/>
          <w:lang w:val="en-US"/>
        </w:rPr>
        <w:t>标有</w:t>
      </w:r>
      <w:r>
        <w:rPr>
          <w:rFonts w:asciiTheme="majorEastAsia" w:eastAsiaTheme="majorEastAsia" w:hAnsiTheme="majorEastAsia" w:hint="eastAsia"/>
          <w:sz w:val="16"/>
        </w:rPr>
        <w:t xml:space="preserve">® </w:t>
      </w:r>
      <w:r>
        <w:rPr>
          <w:rFonts w:asciiTheme="majorEastAsia" w:eastAsiaTheme="majorEastAsia" w:hAnsiTheme="majorEastAsia" w:hint="eastAsia"/>
          <w:sz w:val="16"/>
          <w:lang w:val="en-US"/>
        </w:rPr>
        <w:t>是</w:t>
      </w:r>
      <w:r>
        <w:rPr>
          <w:rFonts w:asciiTheme="majorEastAsia" w:eastAsiaTheme="majorEastAsia" w:hAnsiTheme="majorEastAsia" w:hint="eastAsia"/>
          <w:sz w:val="16"/>
        </w:rPr>
        <w:t>ILLIG Maschinenbau GmbH&amp;Co.KG</w:t>
      </w:r>
      <w:r>
        <w:rPr>
          <w:rFonts w:asciiTheme="majorEastAsia" w:eastAsiaTheme="majorEastAsia" w:hAnsiTheme="majorEastAsia" w:hint="eastAsia"/>
          <w:sz w:val="16"/>
          <w:lang w:val="en-US"/>
        </w:rPr>
        <w:t>的注册商标和受保护商标。</w:t>
      </w:r>
    </w:p>
    <w:p>
      <w:pPr>
        <w:rPr>
          <w:rFonts w:asciiTheme="majorEastAsia" w:eastAsiaTheme="majorEastAsia" w:hAnsiTheme="majorEastAsia"/>
          <w:sz w:val="16"/>
          <w:lang w:val="en-US"/>
        </w:rPr>
      </w:pPr>
      <w:r>
        <w:rPr>
          <w:rFonts w:asciiTheme="majorEastAsia" w:eastAsiaTheme="majorEastAsia" w:hAnsiTheme="majorEastAsia" w:hint="eastAsia"/>
          <w:sz w:val="16"/>
          <w:lang w:val="en-US"/>
        </w:rPr>
        <w:t>图片：伊利格</w:t>
      </w:r>
    </w:p>
    <w:p>
      <w:pPr>
        <w:rPr>
          <w:rFonts w:asciiTheme="majorEastAsia" w:eastAsiaTheme="majorEastAsia" w:hAnsiTheme="majorEastAsia"/>
          <w:sz w:val="16"/>
          <w:lang w:val="en-US"/>
        </w:rPr>
      </w:pPr>
    </w:p>
    <w:p>
      <w:pPr>
        <w:spacing w:before="120" w:after="120"/>
        <w:rPr>
          <w:rFonts w:asciiTheme="majorEastAsia" w:eastAsia="PMingLiU" w:hAnsiTheme="majorEastAsia"/>
          <w:sz w:val="24"/>
          <w:lang w:val="en-US" w:eastAsia="zh-TW"/>
        </w:rPr>
      </w:pPr>
    </w:p>
    <w:p>
      <w:pPr>
        <w:spacing w:before="120"/>
        <w:outlineLvl w:val="0"/>
        <w:rPr>
          <w:rFonts w:ascii="Arial" w:hAnsi="Arial"/>
          <w:sz w:val="20"/>
          <w:szCs w:val="18"/>
          <w:u w:val="single"/>
          <w:lang w:val="en-US"/>
        </w:rPr>
      </w:pPr>
      <w:r>
        <w:rPr>
          <w:rFonts w:ascii="Arial" w:hAnsi="Arial"/>
          <w:sz w:val="20"/>
          <w:szCs w:val="18"/>
          <w:u w:val="single"/>
          <w:lang w:val="en-US"/>
        </w:rPr>
        <w:t>Further information:</w:t>
      </w:r>
      <w:r>
        <w:rPr>
          <w:rFonts w:ascii="Arial" w:hAnsi="Arial" w:hint="eastAsia"/>
          <w:sz w:val="20"/>
          <w:szCs w:val="18"/>
          <w:u w:val="single"/>
          <w:lang w:val="en-US" w:eastAsia="zh-CN"/>
        </w:rPr>
        <w:t>联系方式</w:t>
      </w:r>
    </w:p>
    <w:p>
      <w:pPr>
        <w:rPr>
          <w:rFonts w:ascii="Arial" w:hAnsi="Arial"/>
          <w:sz w:val="20"/>
          <w:lang w:val="en-US"/>
        </w:rPr>
      </w:pPr>
    </w:p>
    <w:p>
      <w:pPr>
        <w:rPr>
          <w:rFonts w:ascii="Arial" w:hAnsi="Arial"/>
          <w:b/>
          <w:szCs w:val="18"/>
          <w:lang w:val="en-US"/>
        </w:rPr>
      </w:pPr>
      <w:r>
        <w:rPr>
          <w:rFonts w:ascii="Arial" w:hAnsi="Arial"/>
          <w:b/>
          <w:szCs w:val="18"/>
          <w:lang w:val="en-US"/>
        </w:rPr>
        <w:t>ILLIG China</w:t>
      </w:r>
      <w:r>
        <w:rPr>
          <w:rFonts w:ascii="Arial" w:hAnsi="Arial" w:hint="eastAsia"/>
          <w:b/>
          <w:szCs w:val="18"/>
          <w:lang w:val="en-US" w:eastAsia="zh-CN"/>
        </w:rPr>
        <w:t xml:space="preserve"> </w:t>
      </w:r>
      <w:r>
        <w:rPr>
          <w:rFonts w:ascii="Arial" w:hAnsi="Arial" w:hint="eastAsia"/>
          <w:b/>
          <w:szCs w:val="18"/>
          <w:lang w:val="en-US" w:eastAsia="zh-CN"/>
        </w:rPr>
        <w:t>海宁伊利格</w:t>
      </w:r>
    </w:p>
    <w:p>
      <w:pPr>
        <w:rPr>
          <w:rFonts w:ascii="Arial" w:hAnsi="Arial"/>
          <w:sz w:val="20"/>
          <w:szCs w:val="20"/>
          <w:lang w:val="en-US"/>
        </w:rPr>
      </w:pPr>
      <w:r>
        <w:rPr>
          <w:rFonts w:ascii="Arial" w:eastAsia="Microsoft JhengHei" w:hAnsi="Arial"/>
          <w:sz w:val="20"/>
          <w:szCs w:val="20"/>
          <w:lang w:val="en-US"/>
        </w:rPr>
        <w:t>张晓晴</w:t>
      </w:r>
      <w:r>
        <w:rPr>
          <w:rFonts w:ascii="Arial" w:hAnsi="Arial"/>
          <w:sz w:val="20"/>
          <w:szCs w:val="20"/>
          <w:lang w:val="en-US"/>
        </w:rPr>
        <w:t xml:space="preserve"> Selene Chang, Communications &amp; Marketing Manager</w:t>
      </w:r>
    </w:p>
    <w:p>
      <w:pPr>
        <w:rPr>
          <w:rFonts w:ascii="Arial" w:eastAsia="PMingLiU" w:hAnsi="Arial"/>
          <w:sz w:val="20"/>
          <w:szCs w:val="20"/>
          <w:lang w:val="en-US" w:eastAsia="zh-TW"/>
        </w:rPr>
      </w:pPr>
      <w:r>
        <w:rPr>
          <w:rFonts w:ascii="Arial" w:hAnsi="Arial"/>
          <w:sz w:val="20"/>
          <w:szCs w:val="20"/>
          <w:lang w:val="en-US" w:eastAsia="zh-CN"/>
        </w:rPr>
        <w:t>浙江省海宁市海宁大道</w:t>
      </w:r>
      <w:r>
        <w:rPr>
          <w:rFonts w:ascii="Arial" w:hAnsi="Arial"/>
          <w:sz w:val="20"/>
          <w:szCs w:val="20"/>
          <w:lang w:val="en-US" w:eastAsia="zh-CN"/>
        </w:rPr>
        <w:t>8</w:t>
      </w:r>
      <w:r>
        <w:rPr>
          <w:rFonts w:ascii="Arial" w:hAnsi="Arial"/>
          <w:sz w:val="20"/>
          <w:szCs w:val="20"/>
          <w:lang w:val="en-US" w:eastAsia="zh-CN"/>
        </w:rPr>
        <w:t>号</w:t>
      </w:r>
      <w:r>
        <w:rPr>
          <w:rFonts w:ascii="Arial" w:hAnsi="Arial"/>
          <w:sz w:val="20"/>
          <w:szCs w:val="20"/>
          <w:lang w:val="en-US" w:eastAsia="zh-CN"/>
        </w:rPr>
        <w:t>8</w:t>
      </w:r>
      <w:r>
        <w:rPr>
          <w:rFonts w:ascii="Arial" w:hAnsi="Arial"/>
          <w:sz w:val="20"/>
          <w:szCs w:val="20"/>
          <w:lang w:val="en-US" w:eastAsia="zh-CN"/>
        </w:rPr>
        <w:t>幢</w:t>
      </w:r>
      <w:r>
        <w:rPr>
          <w:rFonts w:ascii="Arial" w:hAnsi="Arial"/>
          <w:sz w:val="20"/>
          <w:szCs w:val="20"/>
          <w:lang w:val="en-US" w:eastAsia="zh-CN"/>
        </w:rPr>
        <w:t>2</w:t>
      </w:r>
      <w:r>
        <w:rPr>
          <w:rFonts w:ascii="Arial" w:hAnsi="Arial"/>
          <w:sz w:val="20"/>
          <w:szCs w:val="20"/>
          <w:lang w:val="en-US" w:eastAsia="zh-CN"/>
        </w:rPr>
        <w:t>楼</w:t>
      </w:r>
    </w:p>
    <w:p>
      <w:pPr>
        <w:rPr>
          <w:rFonts w:ascii="Arial" w:hAnsi="Arial"/>
          <w:sz w:val="20"/>
          <w:szCs w:val="20"/>
          <w:lang w:val="en-US"/>
        </w:rPr>
      </w:pPr>
      <w:r>
        <w:rPr>
          <w:rFonts w:ascii="Arial" w:hAnsi="Arial"/>
          <w:sz w:val="20"/>
          <w:szCs w:val="20"/>
          <w:lang w:val="en-US"/>
        </w:rPr>
        <w:t>Postcode: 314400</w:t>
      </w:r>
    </w:p>
    <w:p>
      <w:pPr>
        <w:rPr>
          <w:rFonts w:ascii="Arial" w:eastAsia="PMingLiU" w:hAnsi="Arial"/>
          <w:sz w:val="20"/>
          <w:szCs w:val="20"/>
          <w:lang w:val="en-US" w:eastAsia="zh-TW"/>
        </w:rPr>
      </w:pPr>
      <w:r>
        <w:rPr>
          <w:rFonts w:ascii="Arial" w:hAnsi="Arial"/>
          <w:sz w:val="20"/>
          <w:szCs w:val="20"/>
          <w:lang w:val="en-US"/>
        </w:rPr>
        <w:t xml:space="preserve">Phone: +86-573-8733-8111, Mobile: +86-189-6630-6609, </w:t>
      </w:r>
    </w:p>
    <w:p>
      <w:pPr>
        <w:rPr>
          <w:rFonts w:ascii="Arial" w:hAnsi="Arial"/>
          <w:sz w:val="20"/>
          <w:szCs w:val="20"/>
          <w:lang w:val="en-US"/>
        </w:rPr>
      </w:pPr>
      <w:r>
        <w:rPr>
          <w:rFonts w:ascii="Arial" w:hAnsi="Arial"/>
          <w:sz w:val="20"/>
          <w:szCs w:val="20"/>
          <w:lang w:val="en-US"/>
        </w:rPr>
        <w:t xml:space="preserve">email: </w:t>
      </w:r>
      <w:hyperlink r:id="rId10" w:history="1">
        <w:r>
          <w:rPr>
            <w:rFonts w:ascii="Arial" w:hAnsi="Arial"/>
            <w:sz w:val="20"/>
            <w:szCs w:val="20"/>
            <w:lang w:val="en-US"/>
          </w:rPr>
          <w:t>Selene.Chang@illigchina.com</w:t>
        </w:r>
      </w:hyperlink>
      <w:r>
        <w:rPr>
          <w:rFonts w:ascii="Arial" w:hAnsi="Arial"/>
          <w:sz w:val="20"/>
          <w:szCs w:val="20"/>
          <w:lang w:val="en-US" w:eastAsia="zh-CN"/>
        </w:rPr>
        <w:t xml:space="preserve"> </w:t>
      </w:r>
    </w:p>
    <w:p>
      <w:pPr>
        <w:rPr>
          <w:rFonts w:ascii="Arial" w:hAnsi="Arial"/>
          <w:sz w:val="20"/>
          <w:szCs w:val="20"/>
          <w:lang w:val="en-US"/>
        </w:rPr>
      </w:pPr>
      <w:r>
        <w:rPr>
          <w:rFonts w:ascii="Arial" w:hAnsi="Arial"/>
          <w:sz w:val="20"/>
          <w:szCs w:val="20"/>
        </w:rPr>
        <w:t>网站</w:t>
      </w:r>
      <w:r>
        <w:rPr>
          <w:rFonts w:ascii="Arial" w:hAnsi="Arial"/>
          <w:sz w:val="20"/>
          <w:szCs w:val="20"/>
          <w:lang w:val="en-US"/>
        </w:rPr>
        <w:t>: illig.com</w:t>
      </w:r>
    </w:p>
    <w:p>
      <w:pPr>
        <w:rPr>
          <w:rFonts w:ascii="Arial" w:hAnsi="Arial"/>
          <w:sz w:val="20"/>
          <w:szCs w:val="20"/>
          <w:lang w:val="en-US"/>
        </w:rPr>
      </w:pPr>
    </w:p>
    <w:p>
      <w:pPr>
        <w:rPr>
          <w:rFonts w:ascii="Arial" w:hAnsi="Arial"/>
          <w:sz w:val="20"/>
          <w:szCs w:val="20"/>
          <w:lang w:val="en-US"/>
        </w:rPr>
      </w:pPr>
      <w:bookmarkStart w:id="1" w:name="_GoBack"/>
      <w:bookmarkEnd w:id="1"/>
    </w:p>
    <w:p>
      <w:pPr>
        <w:rPr>
          <w:rFonts w:ascii="Arial" w:eastAsia="PMingLiU" w:hAnsi="Arial"/>
          <w:sz w:val="20"/>
          <w:szCs w:val="20"/>
          <w:lang w:val="en-US" w:eastAsia="zh-TW"/>
        </w:rPr>
      </w:pPr>
      <w:r>
        <w:rPr>
          <w:rFonts w:ascii="Arial" w:hAnsi="Arial"/>
          <w:noProof/>
          <w:sz w:val="24"/>
        </w:rPr>
        <w:drawing>
          <wp:inline distT="0" distB="0" distL="0" distR="0">
            <wp:extent cx="3022600" cy="2352041"/>
            <wp:effectExtent l="0" t="0" r="6350" b="0"/>
            <wp:docPr id="1" name="Grafik 1" descr="G:\vk\werbung\PR\01.00.00_Veröffentlichungen\ILLIG HN\Pressemitteilungen\2021\Juli\Fachpack Vorbericht\Fachpack HSU qu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vk\werbung\PR\01.00.00_Veröffentlichungen\ILLIG HN\Pressemitteilungen\2021\Juli\Fachpack Vorbericht\Fachpack HSU quer.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68969" cy="2388123"/>
                    </a:xfrm>
                    <a:prstGeom prst="rect">
                      <a:avLst/>
                    </a:prstGeom>
                    <a:noFill/>
                    <a:ln>
                      <a:noFill/>
                    </a:ln>
                  </pic:spPr>
                </pic:pic>
              </a:graphicData>
            </a:graphic>
          </wp:inline>
        </w:drawing>
      </w:r>
    </w:p>
    <w:p>
      <w:pPr>
        <w:rPr>
          <w:rFonts w:ascii="Arial" w:eastAsia="PMingLiU" w:hAnsi="Arial"/>
          <w:sz w:val="20"/>
          <w:szCs w:val="20"/>
          <w:lang w:val="en-US" w:eastAsia="zh-TW"/>
        </w:rPr>
      </w:pPr>
    </w:p>
    <w:p>
      <w:pPr>
        <w:rPr>
          <w:rFonts w:ascii="Arial" w:hAnsi="Arial"/>
          <w:lang w:val="en-US"/>
        </w:rPr>
      </w:pPr>
      <w:r>
        <w:rPr>
          <w:rFonts w:ascii="Arial" w:hAnsi="Arial" w:hint="eastAsia"/>
          <w:lang w:val="en-US"/>
        </w:rPr>
        <w:t>伊利格的</w:t>
      </w:r>
      <w:r>
        <w:rPr>
          <w:rFonts w:ascii="Arial" w:hAnsi="Arial" w:hint="eastAsia"/>
          <w:lang w:val="en-US"/>
        </w:rPr>
        <w:t>HSU35</w:t>
      </w:r>
      <w:r>
        <w:rPr>
          <w:rFonts w:ascii="Arial" w:eastAsia="PMingLiU" w:hAnsi="Arial" w:hint="eastAsia"/>
          <w:lang w:val="en-US" w:eastAsia="zh-CN"/>
        </w:rPr>
        <w:t>b</w:t>
      </w:r>
      <w:r>
        <w:rPr>
          <w:rFonts w:ascii="Arial" w:hAnsi="Arial" w:hint="eastAsia"/>
          <w:lang w:val="en-US"/>
        </w:rPr>
        <w:t>包装系统适用于可持续的泡罩包装与产品固定等镶嵌实心纸板制成。</w:t>
      </w:r>
    </w:p>
    <w:p>
      <w:pPr>
        <w:rPr>
          <w:rFonts w:ascii="Arial" w:eastAsia="PMingLiU" w:hAnsi="Arial"/>
          <w:sz w:val="20"/>
          <w:szCs w:val="20"/>
          <w:lang w:val="en-US" w:eastAsia="zh-TW"/>
        </w:rPr>
      </w:pPr>
    </w:p>
    <w:sectPr>
      <w:headerReference w:type="default" r:id="rId12"/>
      <w:footerReference w:type="default" r:id="rId13"/>
      <w:headerReference w:type="first" r:id="rId14"/>
      <w:pgSz w:w="11906" w:h="16838" w:code="9"/>
      <w:pgMar w:top="-1797" w:right="1134" w:bottom="2410" w:left="1418" w:header="89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6BAFF8" w16cex:dateUtc="2021-06-10T01:24:00Z"/>
  <w16cex:commentExtensible w16cex:durableId="246BB4F6" w16cex:dateUtc="2021-06-10T01: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C6CDDFF" w16cid:durableId="246BAFF8"/>
  <w16cid:commentId w16cid:paraId="720C2A07" w16cid:durableId="246BB4F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1)">
    <w:altName w:val="Arial"/>
    <w:charset w:val="00"/>
    <w:family w:val="swiss"/>
    <w:pitch w:val="variable"/>
    <w:sig w:usb0="00000000" w:usb1="80000000" w:usb2="00000008"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tilliumMaps26L">
    <w:panose1 w:val="00000000000000000000"/>
    <w:charset w:val="00"/>
    <w:family w:val="modern"/>
    <w:notTrueType/>
    <w:pitch w:val="variable"/>
    <w:sig w:usb0="A00000EF" w:usb1="0000204B" w:usb2="00000000" w:usb3="00000000" w:csb0="00000193" w:csb1="00000000"/>
  </w:font>
  <w:font w:name="PMingLiU">
    <w:altName w:val="Malgun Gothic Semilight"/>
    <w:panose1 w:val="02020500000000000000"/>
    <w:charset w:val="88"/>
    <w:family w:val="auto"/>
    <w:notTrueType/>
    <w:pitch w:val="variable"/>
    <w:sig w:usb0="00000000" w:usb1="08080000" w:usb2="00000010" w:usb3="00000000" w:csb0="00100000" w:csb1="00000000"/>
  </w:font>
  <w:font w:name="MS Gothic">
    <w:altName w:val="ＭＳ ゴシック"/>
    <w:panose1 w:val="020B06090702050802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 w:name="Malgun Gothic Semilight">
    <w:panose1 w:val="020B0502040204020203"/>
    <w:charset w:val="81"/>
    <w:family w:val="swiss"/>
    <w:pitch w:val="variable"/>
    <w:sig w:usb0="B0000AAF" w:usb1="09DF7CFB" w:usb2="00000012" w:usb3="00000000" w:csb0="003E01BD"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06163172"/>
      <w:docPartObj>
        <w:docPartGallery w:val="Page Numbers (Bottom of Page)"/>
        <w:docPartUnique/>
      </w:docPartObj>
    </w:sdtPr>
    <w:sdtContent>
      <w:p>
        <w:pPr>
          <w:pStyle w:val="Fuzeile"/>
          <w:jc w:val="right"/>
        </w:pPr>
        <w:r>
          <w:fldChar w:fldCharType="begin"/>
        </w:r>
        <w:r>
          <w:instrText xml:space="preserve"> PAGE   \* MERGEFORMAT </w:instrText>
        </w:r>
        <w:r>
          <w:fldChar w:fldCharType="separate"/>
        </w:r>
        <w:r>
          <w:rPr>
            <w:noProof/>
          </w:rPr>
          <w:t>3</w:t>
        </w:r>
        <w:r>
          <w:rPr>
            <w:noProof/>
          </w:rPr>
          <w:fldChar w:fldCharType="end"/>
        </w:r>
      </w:p>
    </w:sdtContent>
  </w:sdt>
  <w:p>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Bdr>
        <w:bottom w:val="single" w:sz="6" w:space="1" w:color="auto"/>
      </w:pBdr>
      <w:autoSpaceDE w:val="0"/>
      <w:autoSpaceDN w:val="0"/>
      <w:spacing w:before="360" w:line="360" w:lineRule="auto"/>
      <w:textAlignment w:val="center"/>
      <w:rPr>
        <w:rFonts w:ascii="Arial" w:eastAsia="PMingLiU" w:hAnsi="Arial"/>
        <w:sz w:val="32"/>
        <w:szCs w:val="32"/>
        <w:lang w:val="en-US" w:eastAsia="zh-CN"/>
      </w:rPr>
    </w:pPr>
    <w:r>
      <w:rPr>
        <w:rFonts w:hint="eastAsia"/>
        <w:sz w:val="18"/>
        <w:szCs w:val="32"/>
        <w:lang w:val="en-US"/>
      </w:rPr>
      <w:t>Fachpack</w:t>
    </w:r>
    <w:r>
      <w:rPr>
        <w:rFonts w:hint="eastAsia"/>
        <w:sz w:val="18"/>
        <w:szCs w:val="32"/>
        <w:lang w:val="en-US"/>
      </w:rPr>
      <w:t>：可持续全纸泡罩包装</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Kopfzeile"/>
    </w:pPr>
    <w:r>
      <w:rPr>
        <w:noProof/>
      </w:rPr>
      <w:drawing>
        <wp:anchor distT="0" distB="0" distL="114300" distR="114300" simplePos="0" relativeHeight="251662336" behindDoc="0" locked="0" layoutInCell="1" allowOverlap="1">
          <wp:simplePos x="0" y="0"/>
          <wp:positionH relativeFrom="column">
            <wp:posOffset>0</wp:posOffset>
          </wp:positionH>
          <wp:positionV relativeFrom="paragraph">
            <wp:posOffset>-71120</wp:posOffset>
          </wp:positionV>
          <wp:extent cx="1504950" cy="944930"/>
          <wp:effectExtent l="0" t="0" r="0" b="7620"/>
          <wp:wrapNone/>
          <wp:docPr id="238" name="Grafik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LLIG_next_75_4c.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04950" cy="94493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AA124AE"/>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 w15:restartNumberingAfterBreak="0">
    <w:nsid w:val="657E5C6F"/>
    <w:multiLevelType w:val="hybridMultilevel"/>
    <w:tmpl w:val="C3F4F558"/>
    <w:lvl w:ilvl="0" w:tplc="D2A23384">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5:docId w15:val="{5A48A830-940F-4C63-BDF8-28C60B2EE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EastAsia" w:hAnsi="Arial" w:cs="Arial"/>
        <w:sz w:val="22"/>
        <w:szCs w:val="24"/>
        <w:lang w:val="de-DE" w:eastAsia="de-DE" w:bidi="ar-SA"/>
      </w:rPr>
    </w:rPrDefault>
    <w:pPrDefault>
      <w:pPr>
        <w:spacing w:before="120" w:after="120"/>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before="0" w:after="0"/>
    </w:pPr>
    <w:rPr>
      <w:rFonts w:ascii="Arial (W1)" w:hAnsi="Arial (W1)"/>
    </w:rPr>
  </w:style>
  <w:style w:type="paragraph" w:styleId="berschrift1">
    <w:name w:val="heading 1"/>
    <w:basedOn w:val="Standard"/>
    <w:next w:val="Text"/>
    <w:link w:val="berschrift1Zchn"/>
    <w:qFormat/>
    <w:pPr>
      <w:keepNext/>
      <w:keepLines/>
      <w:numPr>
        <w:numId w:val="2"/>
      </w:numPr>
      <w:spacing w:before="360" w:line="276" w:lineRule="auto"/>
      <w:jc w:val="both"/>
      <w:outlineLvl w:val="0"/>
    </w:pPr>
    <w:rPr>
      <w:rFonts w:asciiTheme="minorHAnsi" w:eastAsiaTheme="majorEastAsia" w:hAnsiTheme="minorHAnsi" w:cstheme="majorBidi"/>
      <w:b/>
      <w:bCs/>
      <w:sz w:val="28"/>
      <w:szCs w:val="28"/>
      <w:lang w:eastAsia="en-US"/>
    </w:rPr>
  </w:style>
  <w:style w:type="paragraph" w:styleId="berschrift2">
    <w:name w:val="heading 2"/>
    <w:basedOn w:val="Standard"/>
    <w:next w:val="Text"/>
    <w:link w:val="berschrift2Zchn"/>
    <w:unhideWhenUsed/>
    <w:qFormat/>
    <w:pPr>
      <w:keepNext/>
      <w:keepLines/>
      <w:numPr>
        <w:ilvl w:val="1"/>
        <w:numId w:val="2"/>
      </w:numPr>
      <w:spacing w:before="200" w:line="276" w:lineRule="auto"/>
      <w:ind w:left="907" w:hanging="907"/>
      <w:jc w:val="both"/>
      <w:outlineLvl w:val="1"/>
    </w:pPr>
    <w:rPr>
      <w:rFonts w:asciiTheme="minorHAnsi" w:eastAsiaTheme="majorEastAsia" w:hAnsiTheme="minorHAnsi" w:cstheme="majorBidi"/>
      <w:b/>
      <w:bCs/>
      <w:sz w:val="26"/>
      <w:szCs w:val="26"/>
      <w:lang w:eastAsia="en-US"/>
    </w:rPr>
  </w:style>
  <w:style w:type="paragraph" w:styleId="berschrift3">
    <w:name w:val="heading 3"/>
    <w:basedOn w:val="Standard"/>
    <w:next w:val="Text"/>
    <w:link w:val="berschrift3Zchn"/>
    <w:unhideWhenUsed/>
    <w:qFormat/>
    <w:pPr>
      <w:keepNext/>
      <w:keepLines/>
      <w:numPr>
        <w:ilvl w:val="2"/>
        <w:numId w:val="2"/>
      </w:numPr>
      <w:spacing w:before="200" w:line="276" w:lineRule="auto"/>
      <w:ind w:left="907" w:hanging="907"/>
      <w:jc w:val="both"/>
      <w:outlineLvl w:val="2"/>
    </w:pPr>
    <w:rPr>
      <w:rFonts w:asciiTheme="minorHAnsi" w:eastAsiaTheme="majorEastAsia" w:hAnsiTheme="minorHAnsi" w:cstheme="majorBidi"/>
      <w:b/>
      <w:bCs/>
      <w:szCs w:val="22"/>
      <w:lang w:eastAsia="en-US"/>
    </w:rPr>
  </w:style>
  <w:style w:type="paragraph" w:styleId="berschrift4">
    <w:name w:val="heading 4"/>
    <w:basedOn w:val="Standard"/>
    <w:next w:val="Standard"/>
    <w:link w:val="berschrift4Zchn"/>
    <w:unhideWhenUsed/>
    <w:pPr>
      <w:keepNext/>
      <w:keepLines/>
      <w:numPr>
        <w:ilvl w:val="3"/>
        <w:numId w:val="2"/>
      </w:numPr>
      <w:spacing w:before="200" w:line="276" w:lineRule="auto"/>
      <w:jc w:val="both"/>
      <w:outlineLvl w:val="3"/>
    </w:pPr>
    <w:rPr>
      <w:rFonts w:asciiTheme="majorHAnsi" w:eastAsiaTheme="majorEastAsia" w:hAnsiTheme="majorHAnsi" w:cstheme="majorBidi"/>
      <w:b/>
      <w:bCs/>
      <w:i/>
      <w:iCs/>
      <w:color w:val="4F81BD" w:themeColor="accent1"/>
      <w:szCs w:val="22"/>
      <w:lang w:eastAsia="en-US"/>
    </w:rPr>
  </w:style>
  <w:style w:type="paragraph" w:styleId="berschrift5">
    <w:name w:val="heading 5"/>
    <w:basedOn w:val="Standard"/>
    <w:next w:val="Standard"/>
    <w:link w:val="berschrift5Zchn"/>
    <w:unhideWhenUsed/>
    <w:pPr>
      <w:keepNext/>
      <w:keepLines/>
      <w:numPr>
        <w:ilvl w:val="4"/>
        <w:numId w:val="2"/>
      </w:numPr>
      <w:spacing w:before="200" w:line="276" w:lineRule="auto"/>
      <w:jc w:val="both"/>
      <w:outlineLvl w:val="4"/>
    </w:pPr>
    <w:rPr>
      <w:rFonts w:asciiTheme="majorHAnsi" w:eastAsiaTheme="majorEastAsia" w:hAnsiTheme="majorHAnsi" w:cstheme="majorBidi"/>
      <w:color w:val="243F60" w:themeColor="accent1" w:themeShade="7F"/>
      <w:szCs w:val="22"/>
      <w:lang w:eastAsia="en-US"/>
    </w:rPr>
  </w:style>
  <w:style w:type="paragraph" w:styleId="berschrift6">
    <w:name w:val="heading 6"/>
    <w:basedOn w:val="Standard"/>
    <w:next w:val="Standard"/>
    <w:link w:val="berschrift6Zchn"/>
    <w:unhideWhenUsed/>
    <w:pPr>
      <w:keepNext/>
      <w:keepLines/>
      <w:numPr>
        <w:ilvl w:val="5"/>
        <w:numId w:val="2"/>
      </w:numPr>
      <w:spacing w:before="200" w:line="276" w:lineRule="auto"/>
      <w:jc w:val="both"/>
      <w:outlineLvl w:val="5"/>
    </w:pPr>
    <w:rPr>
      <w:rFonts w:asciiTheme="majorHAnsi" w:eastAsiaTheme="majorEastAsia" w:hAnsiTheme="majorHAnsi" w:cstheme="majorBidi"/>
      <w:i/>
      <w:iCs/>
      <w:color w:val="243F60" w:themeColor="accent1" w:themeShade="7F"/>
      <w:szCs w:val="22"/>
      <w:lang w:eastAsia="en-US"/>
    </w:rPr>
  </w:style>
  <w:style w:type="paragraph" w:styleId="berschrift7">
    <w:name w:val="heading 7"/>
    <w:basedOn w:val="Standard"/>
    <w:next w:val="Standard"/>
    <w:link w:val="berschrift7Zchn"/>
    <w:unhideWhenUsed/>
    <w:pPr>
      <w:keepNext/>
      <w:keepLines/>
      <w:numPr>
        <w:ilvl w:val="6"/>
        <w:numId w:val="2"/>
      </w:numPr>
      <w:spacing w:before="200" w:line="276" w:lineRule="auto"/>
      <w:jc w:val="both"/>
      <w:outlineLvl w:val="6"/>
    </w:pPr>
    <w:rPr>
      <w:rFonts w:asciiTheme="majorHAnsi" w:eastAsiaTheme="majorEastAsia" w:hAnsiTheme="majorHAnsi" w:cstheme="majorBidi"/>
      <w:i/>
      <w:iCs/>
      <w:color w:val="404040" w:themeColor="text1" w:themeTint="BF"/>
      <w:szCs w:val="22"/>
      <w:lang w:eastAsia="en-US"/>
    </w:rPr>
  </w:style>
  <w:style w:type="paragraph" w:styleId="berschrift8">
    <w:name w:val="heading 8"/>
    <w:basedOn w:val="Standard"/>
    <w:next w:val="Standard"/>
    <w:link w:val="berschrift8Zchn"/>
    <w:unhideWhenUsed/>
    <w:pPr>
      <w:keepNext/>
      <w:keepLines/>
      <w:numPr>
        <w:ilvl w:val="7"/>
        <w:numId w:val="2"/>
      </w:numPr>
      <w:spacing w:before="200" w:line="276" w:lineRule="auto"/>
      <w:jc w:val="both"/>
      <w:outlineLvl w:val="7"/>
    </w:pPr>
    <w:rPr>
      <w:rFonts w:asciiTheme="majorHAnsi" w:eastAsiaTheme="majorEastAsia" w:hAnsiTheme="majorHAnsi" w:cstheme="majorBidi"/>
      <w:color w:val="404040" w:themeColor="text1" w:themeTint="BF"/>
      <w:sz w:val="20"/>
      <w:szCs w:val="20"/>
      <w:lang w:eastAsia="en-US"/>
    </w:rPr>
  </w:style>
  <w:style w:type="paragraph" w:styleId="berschrift9">
    <w:name w:val="heading 9"/>
    <w:basedOn w:val="Standard"/>
    <w:next w:val="Standard"/>
    <w:link w:val="berschrift9Zchn"/>
    <w:unhideWhenUsed/>
    <w:pPr>
      <w:keepNext/>
      <w:keepLines/>
      <w:numPr>
        <w:ilvl w:val="8"/>
        <w:numId w:val="2"/>
      </w:numPr>
      <w:spacing w:before="200" w:line="276" w:lineRule="auto"/>
      <w:jc w:val="both"/>
      <w:outlineLvl w:val="8"/>
    </w:pPr>
    <w:rPr>
      <w:rFonts w:asciiTheme="majorHAnsi" w:eastAsiaTheme="majorEastAsia" w:hAnsiTheme="majorHAnsi" w:cstheme="majorBidi"/>
      <w:i/>
      <w:iCs/>
      <w:color w:val="404040" w:themeColor="text1" w:themeTint="BF"/>
      <w:sz w:val="20"/>
      <w:szCs w:val="2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rPr>
      <w:rFonts w:ascii="Arial" w:hAnsi="Arial"/>
      <w:sz w:val="24"/>
    </w:rPr>
  </w:style>
  <w:style w:type="character" w:customStyle="1" w:styleId="KopfzeileZchn">
    <w:name w:val="Kopfzeile Zchn"/>
    <w:basedOn w:val="Absatz-Standardschriftart"/>
    <w:link w:val="Kopfzeile"/>
    <w:uiPriority w:val="99"/>
    <w:rPr>
      <w:sz w:val="24"/>
    </w:rPr>
  </w:style>
  <w:style w:type="paragraph" w:styleId="Fuzeile">
    <w:name w:val="footer"/>
    <w:basedOn w:val="Standard"/>
    <w:link w:val="FuzeileZchn"/>
    <w:uiPriority w:val="99"/>
    <w:pPr>
      <w:tabs>
        <w:tab w:val="center" w:pos="4536"/>
        <w:tab w:val="right" w:pos="9072"/>
      </w:tabs>
    </w:pPr>
    <w:rPr>
      <w:rFonts w:ascii="Arial" w:hAnsi="Arial"/>
      <w:sz w:val="24"/>
    </w:rPr>
  </w:style>
  <w:style w:type="character" w:customStyle="1" w:styleId="FuzeileZchn">
    <w:name w:val="Fußzeile Zchn"/>
    <w:basedOn w:val="Absatz-Standardschriftart"/>
    <w:link w:val="Fuzeile"/>
    <w:uiPriority w:val="99"/>
    <w:rPr>
      <w:sz w:val="24"/>
    </w:rPr>
  </w:style>
  <w:style w:type="paragraph" w:styleId="Sprechblasentext">
    <w:name w:val="Balloon Text"/>
    <w:basedOn w:val="Standard"/>
    <w:link w:val="SprechblasentextZchn"/>
    <w:rPr>
      <w:rFonts w:ascii="Tahoma" w:hAnsi="Tahoma" w:cs="Tahoma"/>
      <w:sz w:val="16"/>
      <w:szCs w:val="16"/>
    </w:rPr>
  </w:style>
  <w:style w:type="character" w:customStyle="1" w:styleId="SprechblasentextZchn">
    <w:name w:val="Sprechblasentext Zchn"/>
    <w:basedOn w:val="Absatz-Standardschriftart"/>
    <w:link w:val="Sprechblasentext"/>
    <w:rPr>
      <w:rFonts w:ascii="Tahoma" w:hAnsi="Tahoma" w:cs="Tahoma"/>
      <w:sz w:val="16"/>
      <w:szCs w:val="16"/>
    </w:rPr>
  </w:style>
  <w:style w:type="paragraph" w:customStyle="1" w:styleId="berschrift16p">
    <w:name w:val="Überschrift 16p"/>
    <w:basedOn w:val="Standard"/>
    <w:next w:val="Standard"/>
    <w:pPr>
      <w:spacing w:before="360" w:line="360" w:lineRule="auto"/>
    </w:pPr>
    <w:rPr>
      <w:rFonts w:ascii="Arial" w:hAnsi="Arial" w:cs="Times New Roman"/>
      <w:b/>
      <w:sz w:val="32"/>
      <w:szCs w:val="20"/>
    </w:rPr>
  </w:style>
  <w:style w:type="table" w:styleId="Tabellenraster">
    <w:name w:val="Table Grid"/>
    <w:basedOn w:val="NormaleTabelle"/>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Pr>
      <w:color w:val="0000FF" w:themeColor="hyperlink"/>
      <w:u w:val="single"/>
    </w:rPr>
  </w:style>
  <w:style w:type="paragraph" w:customStyle="1" w:styleId="Bildlegende">
    <w:name w:val="Bildlegende"/>
    <w:basedOn w:val="Standard"/>
    <w:next w:val="Standard"/>
    <w:pPr>
      <w:autoSpaceDE w:val="0"/>
      <w:autoSpaceDN w:val="0"/>
      <w:adjustRightInd w:val="0"/>
      <w:spacing w:line="180" w:lineRule="atLeast"/>
      <w:textAlignment w:val="center"/>
    </w:pPr>
    <w:rPr>
      <w:rFonts w:ascii="TitilliumMaps26L" w:hAnsi="TitilliumMaps26L" w:cs="TitilliumMaps26L"/>
      <w:color w:val="000000"/>
      <w:sz w:val="17"/>
      <w:szCs w:val="17"/>
    </w:rPr>
  </w:style>
  <w:style w:type="paragraph" w:styleId="Listenabsatz">
    <w:name w:val="List Paragraph"/>
    <w:basedOn w:val="Standard"/>
    <w:uiPriority w:val="34"/>
    <w:qFormat/>
    <w:pPr>
      <w:ind w:left="720"/>
      <w:contextualSpacing/>
    </w:pPr>
  </w:style>
  <w:style w:type="character" w:customStyle="1" w:styleId="berschrift1Zchn">
    <w:name w:val="Überschrift 1 Zchn"/>
    <w:basedOn w:val="Absatz-Standardschriftart"/>
    <w:link w:val="berschrift1"/>
    <w:rPr>
      <w:rFonts w:asciiTheme="minorHAnsi" w:eastAsiaTheme="majorEastAsia" w:hAnsiTheme="minorHAnsi" w:cstheme="majorBidi"/>
      <w:b/>
      <w:bCs/>
      <w:sz w:val="28"/>
      <w:szCs w:val="28"/>
      <w:lang w:eastAsia="en-US"/>
    </w:rPr>
  </w:style>
  <w:style w:type="character" w:customStyle="1" w:styleId="berschrift2Zchn">
    <w:name w:val="Überschrift 2 Zchn"/>
    <w:basedOn w:val="Absatz-Standardschriftart"/>
    <w:link w:val="berschrift2"/>
    <w:rPr>
      <w:rFonts w:asciiTheme="minorHAnsi" w:eastAsiaTheme="majorEastAsia" w:hAnsiTheme="minorHAnsi" w:cstheme="majorBidi"/>
      <w:b/>
      <w:bCs/>
      <w:sz w:val="26"/>
      <w:szCs w:val="26"/>
      <w:lang w:eastAsia="en-US"/>
    </w:rPr>
  </w:style>
  <w:style w:type="character" w:customStyle="1" w:styleId="berschrift3Zchn">
    <w:name w:val="Überschrift 3 Zchn"/>
    <w:basedOn w:val="Absatz-Standardschriftart"/>
    <w:link w:val="berschrift3"/>
    <w:rPr>
      <w:rFonts w:asciiTheme="minorHAnsi" w:eastAsiaTheme="majorEastAsia" w:hAnsiTheme="minorHAnsi" w:cstheme="majorBidi"/>
      <w:b/>
      <w:bCs/>
      <w:szCs w:val="22"/>
      <w:lang w:eastAsia="en-US"/>
    </w:rPr>
  </w:style>
  <w:style w:type="character" w:customStyle="1" w:styleId="berschrift4Zchn">
    <w:name w:val="Überschrift 4 Zchn"/>
    <w:basedOn w:val="Absatz-Standardschriftart"/>
    <w:link w:val="berschrift4"/>
    <w:rPr>
      <w:rFonts w:asciiTheme="majorHAnsi" w:eastAsiaTheme="majorEastAsia" w:hAnsiTheme="majorHAnsi" w:cstheme="majorBidi"/>
      <w:b/>
      <w:bCs/>
      <w:i/>
      <w:iCs/>
      <w:color w:val="4F81BD" w:themeColor="accent1"/>
      <w:szCs w:val="22"/>
      <w:lang w:eastAsia="en-US"/>
    </w:rPr>
  </w:style>
  <w:style w:type="character" w:customStyle="1" w:styleId="berschrift5Zchn">
    <w:name w:val="Überschrift 5 Zchn"/>
    <w:basedOn w:val="Absatz-Standardschriftart"/>
    <w:link w:val="berschrift5"/>
    <w:rPr>
      <w:rFonts w:asciiTheme="majorHAnsi" w:eastAsiaTheme="majorEastAsia" w:hAnsiTheme="majorHAnsi" w:cstheme="majorBidi"/>
      <w:color w:val="243F60" w:themeColor="accent1" w:themeShade="7F"/>
      <w:szCs w:val="22"/>
      <w:lang w:eastAsia="en-US"/>
    </w:rPr>
  </w:style>
  <w:style w:type="character" w:customStyle="1" w:styleId="berschrift6Zchn">
    <w:name w:val="Überschrift 6 Zchn"/>
    <w:basedOn w:val="Absatz-Standardschriftart"/>
    <w:link w:val="berschrift6"/>
    <w:rPr>
      <w:rFonts w:asciiTheme="majorHAnsi" w:eastAsiaTheme="majorEastAsia" w:hAnsiTheme="majorHAnsi" w:cstheme="majorBidi"/>
      <w:i/>
      <w:iCs/>
      <w:color w:val="243F60" w:themeColor="accent1" w:themeShade="7F"/>
      <w:szCs w:val="22"/>
      <w:lang w:eastAsia="en-US"/>
    </w:rPr>
  </w:style>
  <w:style w:type="character" w:customStyle="1" w:styleId="berschrift7Zchn">
    <w:name w:val="Überschrift 7 Zchn"/>
    <w:basedOn w:val="Absatz-Standardschriftart"/>
    <w:link w:val="berschrift7"/>
    <w:rPr>
      <w:rFonts w:asciiTheme="majorHAnsi" w:eastAsiaTheme="majorEastAsia" w:hAnsiTheme="majorHAnsi" w:cstheme="majorBidi"/>
      <w:i/>
      <w:iCs/>
      <w:color w:val="404040" w:themeColor="text1" w:themeTint="BF"/>
      <w:szCs w:val="22"/>
      <w:lang w:eastAsia="en-US"/>
    </w:rPr>
  </w:style>
  <w:style w:type="character" w:customStyle="1" w:styleId="berschrift8Zchn">
    <w:name w:val="Überschrift 8 Zchn"/>
    <w:basedOn w:val="Absatz-Standardschriftart"/>
    <w:link w:val="berschrift8"/>
    <w:rPr>
      <w:rFonts w:asciiTheme="majorHAnsi" w:eastAsiaTheme="majorEastAsia" w:hAnsiTheme="majorHAnsi" w:cstheme="majorBidi"/>
      <w:color w:val="404040" w:themeColor="text1" w:themeTint="BF"/>
      <w:sz w:val="20"/>
      <w:szCs w:val="20"/>
      <w:lang w:eastAsia="en-US"/>
    </w:rPr>
  </w:style>
  <w:style w:type="character" w:customStyle="1" w:styleId="berschrift9Zchn">
    <w:name w:val="Überschrift 9 Zchn"/>
    <w:basedOn w:val="Absatz-Standardschriftart"/>
    <w:link w:val="berschrift9"/>
    <w:rPr>
      <w:rFonts w:asciiTheme="majorHAnsi" w:eastAsiaTheme="majorEastAsia" w:hAnsiTheme="majorHAnsi" w:cstheme="majorBidi"/>
      <w:i/>
      <w:iCs/>
      <w:color w:val="404040" w:themeColor="text1" w:themeTint="BF"/>
      <w:sz w:val="20"/>
      <w:szCs w:val="20"/>
      <w:lang w:eastAsia="en-US"/>
    </w:rPr>
  </w:style>
  <w:style w:type="paragraph" w:styleId="Beschriftung">
    <w:name w:val="caption"/>
    <w:aliases w:val="Bild-Beschriftung"/>
    <w:basedOn w:val="Standard"/>
    <w:next w:val="Text"/>
    <w:uiPriority w:val="35"/>
    <w:unhideWhenUsed/>
    <w:qFormat/>
    <w:pPr>
      <w:ind w:left="1134" w:hanging="1134"/>
      <w:jc w:val="both"/>
    </w:pPr>
    <w:rPr>
      <w:rFonts w:asciiTheme="minorHAnsi" w:eastAsiaTheme="minorHAnsi" w:hAnsiTheme="minorHAnsi" w:cstheme="minorBidi"/>
      <w:b/>
      <w:bCs/>
      <w:sz w:val="18"/>
      <w:szCs w:val="18"/>
      <w:lang w:eastAsia="en-US"/>
    </w:rPr>
  </w:style>
  <w:style w:type="paragraph" w:customStyle="1" w:styleId="Text">
    <w:name w:val="Text"/>
    <w:basedOn w:val="Standard"/>
    <w:link w:val="TextZchn"/>
    <w:qFormat/>
    <w:pPr>
      <w:spacing w:line="276" w:lineRule="auto"/>
      <w:jc w:val="both"/>
    </w:pPr>
    <w:rPr>
      <w:rFonts w:asciiTheme="minorHAnsi" w:eastAsiaTheme="minorHAnsi" w:hAnsiTheme="minorHAnsi" w:cstheme="minorBidi"/>
      <w:szCs w:val="22"/>
      <w:lang w:eastAsia="en-US"/>
    </w:rPr>
  </w:style>
  <w:style w:type="character" w:customStyle="1" w:styleId="TextZchn">
    <w:name w:val="Text Zchn"/>
    <w:basedOn w:val="Absatz-Standardschriftart"/>
    <w:link w:val="Text"/>
    <w:rPr>
      <w:rFonts w:asciiTheme="minorHAnsi" w:eastAsiaTheme="minorHAnsi" w:hAnsiTheme="minorHAnsi" w:cstheme="minorBidi"/>
      <w:szCs w:val="22"/>
      <w:lang w:eastAsia="en-US"/>
    </w:rPr>
  </w:style>
  <w:style w:type="paragraph" w:styleId="StandardWeb">
    <w:name w:val="Normal (Web)"/>
    <w:basedOn w:val="Standard"/>
    <w:uiPriority w:val="99"/>
    <w:unhideWhenUsed/>
    <w:pPr>
      <w:spacing w:before="100" w:beforeAutospacing="1" w:after="100" w:afterAutospacing="1"/>
    </w:pPr>
    <w:rPr>
      <w:rFonts w:ascii="Times New Roman" w:hAnsi="Times New Roman" w:cs="Times New Roman"/>
      <w:sz w:val="24"/>
    </w:rPr>
  </w:style>
  <w:style w:type="table" w:customStyle="1" w:styleId="Gritternetztabelle6farbig1">
    <w:name w:val="Gritternetztabelle 6 farbig1"/>
    <w:basedOn w:val="NormaleTabelle"/>
    <w:uiPriority w:val="51"/>
    <w:pPr>
      <w:spacing w:before="0" w:after="0"/>
    </w:pPr>
    <w:rPr>
      <w:rFonts w:asciiTheme="minorHAnsi" w:eastAsiaTheme="minorHAnsi" w:hAnsiTheme="minorHAnsi" w:cstheme="minorBidi"/>
      <w:color w:val="000000" w:themeColor="text1"/>
      <w:szCs w:val="22"/>
      <w:lang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BesuchterHyperlink">
    <w:name w:val="FollowedHyperlink"/>
    <w:basedOn w:val="Absatz-Standardschriftart"/>
    <w:semiHidden/>
    <w:unhideWhenUsed/>
    <w:rPr>
      <w:color w:val="800080" w:themeColor="followedHyperlink"/>
      <w:u w:val="single"/>
    </w:rPr>
  </w:style>
  <w:style w:type="character" w:styleId="Fett">
    <w:name w:val="Strong"/>
    <w:uiPriority w:val="22"/>
    <w:qFormat/>
    <w:rPr>
      <w:rFonts w:ascii="Times New Roman" w:hAnsi="Times New Roman" w:cs="Times New Roman" w:hint="default"/>
      <w:b/>
      <w:bCs/>
    </w:rPr>
  </w:style>
  <w:style w:type="paragraph" w:styleId="HTMLVorformatiert">
    <w:name w:val="HTML Preformatted"/>
    <w:basedOn w:val="Standard"/>
    <w:link w:val="HTMLVorformatiertZchn"/>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rPr>
      <w:rFonts w:ascii="Courier New" w:hAnsi="Courier New" w:cs="Courier New"/>
      <w:sz w:val="20"/>
      <w:szCs w:val="20"/>
    </w:rPr>
  </w:style>
  <w:style w:type="paragraph" w:customStyle="1" w:styleId="Default">
    <w:name w:val="Default"/>
    <w:pPr>
      <w:autoSpaceDE w:val="0"/>
      <w:autoSpaceDN w:val="0"/>
      <w:adjustRightInd w:val="0"/>
      <w:spacing w:before="0" w:after="0"/>
    </w:pPr>
    <w:rPr>
      <w:rFonts w:ascii="Calibri" w:hAnsi="Calibri" w:cs="Calibri"/>
      <w:color w:val="000000"/>
      <w:sz w:val="24"/>
    </w:rPr>
  </w:style>
  <w:style w:type="character" w:styleId="Kommentarzeichen">
    <w:name w:val="annotation reference"/>
    <w:basedOn w:val="Absatz-Standardschriftart"/>
    <w:semiHidden/>
    <w:unhideWhenUsed/>
    <w:rPr>
      <w:sz w:val="16"/>
      <w:szCs w:val="16"/>
    </w:rPr>
  </w:style>
  <w:style w:type="paragraph" w:styleId="Kommentartext">
    <w:name w:val="annotation text"/>
    <w:basedOn w:val="Standard"/>
    <w:link w:val="KommentartextZchn"/>
    <w:semiHidden/>
    <w:unhideWhenUsed/>
    <w:rPr>
      <w:sz w:val="20"/>
      <w:szCs w:val="20"/>
    </w:rPr>
  </w:style>
  <w:style w:type="character" w:customStyle="1" w:styleId="KommentartextZchn">
    <w:name w:val="Kommentartext Zchn"/>
    <w:basedOn w:val="Absatz-Standardschriftart"/>
    <w:link w:val="Kommentartext"/>
    <w:semiHidden/>
    <w:rPr>
      <w:rFonts w:ascii="Arial (W1)" w:hAnsi="Arial (W1)"/>
      <w:sz w:val="20"/>
      <w:szCs w:val="20"/>
    </w:rPr>
  </w:style>
  <w:style w:type="paragraph" w:styleId="Kommentarthema">
    <w:name w:val="annotation subject"/>
    <w:basedOn w:val="Kommentartext"/>
    <w:next w:val="Kommentartext"/>
    <w:link w:val="KommentarthemaZchn"/>
    <w:semiHidden/>
    <w:unhideWhenUsed/>
    <w:rPr>
      <w:b/>
      <w:bCs/>
    </w:rPr>
  </w:style>
  <w:style w:type="character" w:customStyle="1" w:styleId="KommentarthemaZchn">
    <w:name w:val="Kommentarthema Zchn"/>
    <w:basedOn w:val="KommentartextZchn"/>
    <w:link w:val="Kommentarthema"/>
    <w:semiHidden/>
    <w:rPr>
      <w:rFonts w:ascii="Arial (W1)" w:hAnsi="Arial (W1)"/>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8236166">
      <w:bodyDiv w:val="1"/>
      <w:marLeft w:val="0"/>
      <w:marRight w:val="0"/>
      <w:marTop w:val="0"/>
      <w:marBottom w:val="0"/>
      <w:divBdr>
        <w:top w:val="none" w:sz="0" w:space="0" w:color="auto"/>
        <w:left w:val="none" w:sz="0" w:space="0" w:color="auto"/>
        <w:bottom w:val="none" w:sz="0" w:space="0" w:color="auto"/>
        <w:right w:val="none" w:sz="0" w:space="0" w:color="auto"/>
      </w:divBdr>
    </w:div>
    <w:div w:id="1208879947">
      <w:bodyDiv w:val="1"/>
      <w:marLeft w:val="0"/>
      <w:marRight w:val="0"/>
      <w:marTop w:val="0"/>
      <w:marBottom w:val="0"/>
      <w:divBdr>
        <w:top w:val="none" w:sz="0" w:space="0" w:color="auto"/>
        <w:left w:val="none" w:sz="0" w:space="0" w:color="auto"/>
        <w:bottom w:val="none" w:sz="0" w:space="0" w:color="auto"/>
        <w:right w:val="none" w:sz="0" w:space="0" w:color="auto"/>
      </w:divBdr>
    </w:div>
    <w:div w:id="1974822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elene.Chang@illigchina.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BC68B8-1F77-447C-A752-8AD46C6295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686</Words>
  <Characters>363</Characters>
  <Application>Microsoft Office Word</Application>
  <DocSecurity>0</DocSecurity>
  <Lines>7</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ILLIG Maschinenbau GmbH &amp; Co. KG</Company>
  <LinksUpToDate>false</LinksUpToDate>
  <CharactersWithSpaces>1045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Sposny</dc:creator>
  <cp:lastModifiedBy>Sposny, Georg</cp:lastModifiedBy>
  <cp:revision>3</cp:revision>
  <cp:lastPrinted>2020-03-18T14:18:00Z</cp:lastPrinted>
  <dcterms:created xsi:type="dcterms:W3CDTF">2021-07-23T08:22:00Z</dcterms:created>
  <dcterms:modified xsi:type="dcterms:W3CDTF">2021-07-27T10:11:00Z</dcterms:modified>
</cp:coreProperties>
</file>